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小标宋简体" w:hAnsi="宋体" w:eastAsia="方正小标宋简体"/>
          <w:sz w:val="72"/>
          <w:szCs w:val="72"/>
          <w:lang w:val="en-US" w:eastAsia="zh-CN"/>
        </w:rPr>
      </w:pPr>
      <w:bookmarkStart w:id="0" w:name="_Toc15377425"/>
      <w:bookmarkStart w:id="1" w:name="_Toc15396597"/>
      <w:bookmarkStart w:id="2" w:name="_Toc15396475"/>
      <w:bookmarkStart w:id="3" w:name="_Toc15377193"/>
      <w:bookmarkStart w:id="4" w:name="_Toc15378441"/>
      <w:bookmarkStart w:id="5" w:name="_Toc15306267"/>
      <w:r>
        <w:rPr>
          <w:rFonts w:hint="eastAsia" w:ascii="方正小标宋简体" w:hAnsi="宋体" w:eastAsia="方正小标宋简体"/>
          <w:sz w:val="72"/>
          <w:szCs w:val="72"/>
          <w:lang w:val="en-US" w:eastAsia="zh-CN"/>
        </w:rPr>
        <w:t xml:space="preserve"> </w:t>
      </w:r>
    </w:p>
    <w:p>
      <w:pPr>
        <w:spacing w:line="600" w:lineRule="exact"/>
        <w:rPr>
          <w:rFonts w:ascii="方正小标宋简体" w:hAnsi="宋体" w:eastAsia="方正小标宋简体"/>
          <w:sz w:val="72"/>
          <w:szCs w:val="72"/>
        </w:rPr>
      </w:pPr>
    </w:p>
    <w:p>
      <w:pPr>
        <w:spacing w:line="600" w:lineRule="exact"/>
        <w:rPr>
          <w:rFonts w:ascii="方正小标宋简体" w:hAnsi="宋体" w:eastAsia="方正小标宋简体"/>
          <w:sz w:val="72"/>
          <w:szCs w:val="72"/>
        </w:rPr>
      </w:pPr>
    </w:p>
    <w:p>
      <w:pPr>
        <w:spacing w:line="1400" w:lineRule="exact"/>
        <w:rPr>
          <w:rFonts w:ascii="方正小标宋简体" w:hAnsi="宋体" w:eastAsia="方正小标宋简体"/>
          <w:sz w:val="72"/>
          <w:szCs w:val="72"/>
        </w:rPr>
      </w:pPr>
    </w:p>
    <w:p>
      <w:pPr>
        <w:adjustRightInd w:val="0"/>
        <w:snapToGrid w:val="0"/>
        <w:spacing w:line="1400" w:lineRule="exac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p>
    <w:bookmarkEnd w:id="5"/>
    <w:p>
      <w:pPr>
        <w:adjustRightInd w:val="0"/>
        <w:snapToGrid w:val="0"/>
        <w:spacing w:line="1400" w:lineRule="exact"/>
        <w:jc w:val="center"/>
        <w:rPr>
          <w:rFonts w:ascii="方正小标宋简体" w:hAnsi="方正小标宋简体" w:eastAsia="方正小标宋简体" w:cs="方正小标宋简体"/>
          <w:sz w:val="72"/>
          <w:szCs w:val="72"/>
        </w:rPr>
      </w:pPr>
      <w:bookmarkStart w:id="6" w:name="_Toc15377426"/>
      <w:bookmarkStart w:id="7" w:name="_Toc15378442"/>
      <w:bookmarkStart w:id="8" w:name="_Toc15306268"/>
      <w:bookmarkStart w:id="9" w:name="_Toc15377194"/>
      <w:bookmarkStart w:id="10" w:name="_Toc15396476"/>
      <w:bookmarkStart w:id="11" w:name="_Toc15396598"/>
      <w:r>
        <w:rPr>
          <w:rFonts w:hint="eastAsia" w:ascii="方正小标宋简体" w:hAnsi="方正小标宋简体" w:eastAsia="方正小标宋简体" w:cs="方正小标宋简体"/>
          <w:sz w:val="72"/>
          <w:szCs w:val="72"/>
        </w:rPr>
        <w:t>中国共产党宜宾市委员会政法委员会部门决算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  录</w:t>
      </w:r>
    </w:p>
    <w:p>
      <w:pPr>
        <w:widowControl/>
        <w:jc w:val="center"/>
        <w:rPr>
          <w:rFonts w:ascii="黑体" w:hAnsi="黑体" w:eastAsia="黑体" w:cstheme="minorBidi"/>
          <w:sz w:val="28"/>
          <w:szCs w:val="28"/>
        </w:rPr>
      </w:pPr>
    </w:p>
    <w:p>
      <w:pPr>
        <w:pStyle w:val="15"/>
        <w:spacing w:before="0"/>
      </w:pPr>
      <w:r>
        <w:rPr>
          <w:rFonts w:hint="eastAsia"/>
        </w:rPr>
        <w:t>公开时间：2023年9月26日</w:t>
      </w:r>
    </w:p>
    <w:p/>
    <w:p>
      <w:pPr>
        <w:pStyle w:val="16"/>
        <w:adjustRightInd w:val="0"/>
        <w:snapToGrid w:val="0"/>
        <w:spacing w:line="440" w:lineRule="exact"/>
        <w:ind w:left="0" w:leftChars="0"/>
        <w:rPr>
          <w:rFonts w:cstheme="minorBidi"/>
          <w:sz w:val="24"/>
        </w:rPr>
      </w:pPr>
      <w:r>
        <w:rPr>
          <w:rFonts w:hint="eastAsia"/>
          <w:sz w:val="24"/>
        </w:rPr>
        <w:t>第一部分</w:t>
      </w:r>
      <w:r>
        <w:rPr>
          <w:sz w:val="24"/>
        </w:rPr>
        <w:t xml:space="preserve"> </w:t>
      </w:r>
      <w:r>
        <w:rPr>
          <w:rFonts w:hint="eastAsia"/>
          <w:sz w:val="24"/>
        </w:rPr>
        <w:t>部门概况----------------------------------------------------------------------------1</w:t>
      </w:r>
    </w:p>
    <w:p>
      <w:pPr>
        <w:pStyle w:val="16"/>
        <w:adjustRightInd w:val="0"/>
        <w:snapToGrid w:val="0"/>
        <w:spacing w:line="440" w:lineRule="exact"/>
        <w:ind w:left="0" w:leftChars="0" w:firstLine="240" w:firstLineChars="100"/>
        <w:rPr>
          <w:rFonts w:ascii="仿宋" w:hAnsi="仿宋"/>
          <w:sz w:val="24"/>
        </w:rPr>
      </w:pPr>
      <w:r>
        <w:rPr>
          <w:rFonts w:hint="eastAsia"/>
          <w:sz w:val="24"/>
        </w:rPr>
        <w:t>一、基本职能及主要工作-----------------------------------------------------------------1</w:t>
      </w:r>
    </w:p>
    <w:p>
      <w:pPr>
        <w:pStyle w:val="16"/>
        <w:adjustRightInd w:val="0"/>
        <w:snapToGrid w:val="0"/>
        <w:spacing w:line="440" w:lineRule="exact"/>
        <w:ind w:left="0" w:leftChars="0" w:firstLine="240" w:firstLineChars="100"/>
        <w:rPr>
          <w:rFonts w:ascii="仿宋" w:hAnsi="仿宋" w:eastAsia="仿宋" w:cstheme="minorBidi"/>
          <w:sz w:val="24"/>
        </w:rPr>
      </w:pPr>
      <w:r>
        <w:rPr>
          <w:rFonts w:hint="eastAsia"/>
          <w:sz w:val="24"/>
        </w:rPr>
        <w:t>二、机构设置--------------------------------------------------------------------------------2</w:t>
      </w:r>
    </w:p>
    <w:p>
      <w:pPr>
        <w:pStyle w:val="16"/>
        <w:adjustRightInd w:val="0"/>
        <w:snapToGrid w:val="0"/>
        <w:spacing w:line="440" w:lineRule="exact"/>
        <w:ind w:left="0" w:leftChars="0"/>
        <w:rPr>
          <w:sz w:val="24"/>
        </w:rPr>
      </w:pPr>
      <w:r>
        <w:rPr>
          <w:rFonts w:hint="eastAsia"/>
          <w:sz w:val="24"/>
        </w:rPr>
        <w:t>第二部分 2022年度部门决算情况说明---------------------------------------------------3</w:t>
      </w:r>
    </w:p>
    <w:p>
      <w:pPr>
        <w:pStyle w:val="16"/>
        <w:adjustRightInd w:val="0"/>
        <w:snapToGrid w:val="0"/>
        <w:spacing w:line="440" w:lineRule="exact"/>
        <w:ind w:left="0" w:leftChars="0" w:firstLine="240" w:firstLineChars="100"/>
        <w:rPr>
          <w:rFonts w:ascii="仿宋" w:hAnsi="仿宋" w:eastAsia="仿宋" w:cstheme="minorBidi"/>
          <w:sz w:val="24"/>
        </w:rPr>
      </w:pPr>
      <w:r>
        <w:rPr>
          <w:rFonts w:hint="eastAsia"/>
          <w:sz w:val="24"/>
        </w:rPr>
        <w:t>一、收入支出决算总体情况说明--------------------------------------------------------3</w:t>
      </w:r>
    </w:p>
    <w:p>
      <w:pPr>
        <w:pStyle w:val="16"/>
        <w:adjustRightInd w:val="0"/>
        <w:snapToGrid w:val="0"/>
        <w:spacing w:line="440" w:lineRule="exact"/>
        <w:ind w:left="0" w:leftChars="0" w:firstLine="240" w:firstLineChars="100"/>
        <w:rPr>
          <w:rFonts w:ascii="仿宋" w:hAnsi="仿宋" w:eastAsia="仿宋" w:cstheme="minorBidi"/>
          <w:sz w:val="24"/>
        </w:rPr>
      </w:pPr>
      <w:r>
        <w:rPr>
          <w:rFonts w:hint="eastAsia"/>
          <w:sz w:val="24"/>
        </w:rPr>
        <w:t>二、收入决算情况说明--------------------------------------------------------------------3</w:t>
      </w:r>
    </w:p>
    <w:p>
      <w:pPr>
        <w:pStyle w:val="16"/>
        <w:adjustRightInd w:val="0"/>
        <w:snapToGrid w:val="0"/>
        <w:spacing w:line="440" w:lineRule="exact"/>
        <w:ind w:left="0" w:leftChars="0" w:firstLine="240" w:firstLineChars="100"/>
        <w:rPr>
          <w:rFonts w:ascii="仿宋" w:hAnsi="仿宋" w:eastAsia="仿宋" w:cstheme="minorBidi"/>
          <w:sz w:val="24"/>
        </w:rPr>
      </w:pPr>
      <w:r>
        <w:rPr>
          <w:rFonts w:hint="eastAsia"/>
          <w:sz w:val="24"/>
        </w:rPr>
        <w:t>三、支出决算情况说明--------------------------------------------------------------------3</w:t>
      </w:r>
    </w:p>
    <w:p>
      <w:pPr>
        <w:pStyle w:val="16"/>
        <w:adjustRightInd w:val="0"/>
        <w:snapToGrid w:val="0"/>
        <w:spacing w:line="440" w:lineRule="exact"/>
        <w:ind w:left="0" w:leftChars="0" w:firstLine="240" w:firstLineChars="100"/>
        <w:rPr>
          <w:rFonts w:ascii="仿宋" w:hAnsi="仿宋" w:eastAsia="仿宋" w:cstheme="minorBidi"/>
          <w:sz w:val="24"/>
        </w:rPr>
      </w:pPr>
      <w:r>
        <w:rPr>
          <w:rFonts w:hint="eastAsia"/>
          <w:sz w:val="24"/>
        </w:rPr>
        <w:t>四、财政拨款收入支出决算总体情况说明--------------------------------------------3</w:t>
      </w:r>
    </w:p>
    <w:p>
      <w:pPr>
        <w:pStyle w:val="16"/>
        <w:adjustRightInd w:val="0"/>
        <w:snapToGrid w:val="0"/>
        <w:spacing w:line="440" w:lineRule="exact"/>
        <w:ind w:left="0" w:leftChars="0" w:firstLine="240" w:firstLineChars="100"/>
        <w:rPr>
          <w:rFonts w:ascii="仿宋" w:hAnsi="仿宋" w:eastAsia="仿宋" w:cstheme="minorBidi"/>
          <w:sz w:val="24"/>
        </w:rPr>
      </w:pPr>
      <w:r>
        <w:rPr>
          <w:rFonts w:hint="eastAsia"/>
          <w:sz w:val="24"/>
        </w:rPr>
        <w:t>五、一般公共预算财政拨款支出决算情况说明--------------------------------------4</w:t>
      </w:r>
    </w:p>
    <w:p>
      <w:pPr>
        <w:pStyle w:val="16"/>
        <w:adjustRightInd w:val="0"/>
        <w:snapToGrid w:val="0"/>
        <w:spacing w:line="440" w:lineRule="exact"/>
        <w:ind w:left="0" w:leftChars="0" w:firstLine="240" w:firstLineChars="100"/>
        <w:rPr>
          <w:rFonts w:ascii="仿宋" w:hAnsi="仿宋" w:eastAsia="仿宋" w:cstheme="minorBidi"/>
          <w:sz w:val="24"/>
        </w:rPr>
      </w:pPr>
      <w:r>
        <w:rPr>
          <w:rFonts w:hint="eastAsia"/>
          <w:sz w:val="24"/>
        </w:rPr>
        <w:t>六、一般公共预算财政拨款基本支出决算情况说明--------------------------------6</w:t>
      </w:r>
    </w:p>
    <w:p>
      <w:pPr>
        <w:pStyle w:val="16"/>
        <w:adjustRightInd w:val="0"/>
        <w:snapToGrid w:val="0"/>
        <w:spacing w:line="440" w:lineRule="exact"/>
        <w:ind w:left="0" w:leftChars="0" w:firstLine="240" w:firstLineChars="100"/>
        <w:rPr>
          <w:rFonts w:ascii="仿宋" w:hAnsi="仿宋" w:eastAsia="仿宋" w:cstheme="minorBidi"/>
          <w:sz w:val="24"/>
        </w:rPr>
      </w:pPr>
      <w:r>
        <w:rPr>
          <w:rFonts w:hint="eastAsia"/>
          <w:sz w:val="24"/>
        </w:rPr>
        <w:t>七、“三公”经费财政拨款支出决算情况说明--------------------------------------6</w:t>
      </w:r>
    </w:p>
    <w:p>
      <w:pPr>
        <w:pStyle w:val="16"/>
        <w:adjustRightInd w:val="0"/>
        <w:snapToGrid w:val="0"/>
        <w:spacing w:line="440" w:lineRule="exact"/>
        <w:ind w:left="0" w:leftChars="0" w:firstLine="240" w:firstLineChars="100"/>
        <w:rPr>
          <w:rFonts w:ascii="仿宋" w:hAnsi="仿宋" w:eastAsia="仿宋" w:cstheme="minorBidi"/>
          <w:sz w:val="24"/>
        </w:rPr>
      </w:pPr>
      <w:r>
        <w:rPr>
          <w:rFonts w:hint="eastAsia"/>
          <w:sz w:val="24"/>
        </w:rPr>
        <w:t>八、政府性基金预算支出决算情况说明-----------------------------------------------8</w:t>
      </w:r>
    </w:p>
    <w:p>
      <w:pPr>
        <w:pStyle w:val="16"/>
        <w:adjustRightInd w:val="0"/>
        <w:snapToGrid w:val="0"/>
        <w:spacing w:line="440" w:lineRule="exact"/>
        <w:ind w:left="0" w:leftChars="0"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九、国有资本经营预算支出决算情况说明</w:t>
      </w:r>
      <w:r>
        <w:rPr>
          <w:rFonts w:hint="eastAsia"/>
          <w:sz w:val="24"/>
        </w:rPr>
        <w:t>--------------------------------------------8</w:t>
      </w:r>
    </w:p>
    <w:p>
      <w:pPr>
        <w:pStyle w:val="16"/>
        <w:adjustRightInd w:val="0"/>
        <w:snapToGrid w:val="0"/>
        <w:spacing w:line="440" w:lineRule="exact"/>
        <w:ind w:left="0" w:leftChars="0" w:firstLine="240" w:firstLineChars="100"/>
        <w:rPr>
          <w:rFonts w:ascii="仿宋" w:hAnsi="仿宋" w:eastAsia="仿宋" w:cstheme="minorBidi"/>
          <w:sz w:val="24"/>
        </w:rPr>
      </w:pPr>
      <w:r>
        <w:rPr>
          <w:rStyle w:val="22"/>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w:t>
      </w:r>
      <w:r>
        <w:rPr>
          <w:rFonts w:hint="eastAsia"/>
          <w:sz w:val="24"/>
        </w:rPr>
        <w:t>-----------------------------------------------------------8</w:t>
      </w:r>
    </w:p>
    <w:p>
      <w:pPr>
        <w:pStyle w:val="16"/>
        <w:adjustRightInd w:val="0"/>
        <w:snapToGrid w:val="0"/>
        <w:spacing w:line="440" w:lineRule="exact"/>
        <w:ind w:left="0" w:leftChars="0"/>
        <w:rPr>
          <w:rFonts w:ascii="仿宋" w:hAnsi="仿宋" w:eastAsia="仿宋" w:cstheme="minorBidi"/>
          <w:sz w:val="24"/>
        </w:rPr>
      </w:pPr>
      <w:r>
        <w:rPr>
          <w:rFonts w:hint="eastAsia"/>
          <w:sz w:val="24"/>
        </w:rPr>
        <w:t>第三部分</w:t>
      </w:r>
      <w:r>
        <w:rPr>
          <w:sz w:val="24"/>
        </w:rPr>
        <w:t xml:space="preserve"> </w:t>
      </w:r>
      <w:r>
        <w:rPr>
          <w:rFonts w:hint="eastAsia"/>
          <w:sz w:val="24"/>
        </w:rPr>
        <w:t>名词解释---------------------------------------------------------------------------10</w:t>
      </w:r>
    </w:p>
    <w:p>
      <w:pPr>
        <w:pStyle w:val="15"/>
        <w:adjustRightInd w:val="0"/>
        <w:snapToGrid w:val="0"/>
        <w:spacing w:before="0" w:line="440" w:lineRule="exact"/>
        <w:jc w:val="both"/>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第四部分 附件---------------------------</w:t>
      </w:r>
      <w:r>
        <w:rPr>
          <w:rFonts w:hint="eastAsia"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14</w:t>
      </w:r>
    </w:p>
    <w:p>
      <w:pPr>
        <w:pStyle w:val="15"/>
        <w:adjustRightInd w:val="0"/>
        <w:snapToGrid w:val="0"/>
        <w:spacing w:before="0" w:line="440" w:lineRule="exact"/>
        <w:jc w:val="both"/>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第五部分 附表---------------------------------------------------------------------------------32</w:t>
      </w:r>
    </w:p>
    <w:p>
      <w:pPr>
        <w:pStyle w:val="16"/>
        <w:adjustRightInd w:val="0"/>
        <w:snapToGrid w:val="0"/>
        <w:spacing w:line="440" w:lineRule="exact"/>
        <w:ind w:left="0" w:leftChars="0" w:firstLine="240" w:firstLineChars="100"/>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6"/>
        <w:adjustRightInd w:val="0"/>
        <w:snapToGrid w:val="0"/>
        <w:spacing w:line="440" w:lineRule="exact"/>
        <w:ind w:left="0" w:leftChars="0"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二、收入决算表</w:t>
      </w:r>
    </w:p>
    <w:p>
      <w:pPr>
        <w:pStyle w:val="16"/>
        <w:adjustRightInd w:val="0"/>
        <w:snapToGrid w:val="0"/>
        <w:spacing w:line="440" w:lineRule="exact"/>
        <w:ind w:left="0" w:leftChars="0"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三、支出决算表</w:t>
      </w:r>
    </w:p>
    <w:p>
      <w:pPr>
        <w:pStyle w:val="16"/>
        <w:adjustRightInd w:val="0"/>
        <w:snapToGrid w:val="0"/>
        <w:spacing w:line="440" w:lineRule="exact"/>
        <w:ind w:left="0" w:leftChars="0"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四、财政拨款收入支出决算总表</w:t>
      </w:r>
    </w:p>
    <w:p>
      <w:pPr>
        <w:pStyle w:val="16"/>
        <w:adjustRightInd w:val="0"/>
        <w:snapToGrid w:val="0"/>
        <w:spacing w:line="440" w:lineRule="exact"/>
        <w:ind w:left="0" w:leftChars="0"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五、财政拨款支出决算明细表</w:t>
      </w:r>
    </w:p>
    <w:p>
      <w:pPr>
        <w:pStyle w:val="16"/>
        <w:adjustRightInd w:val="0"/>
        <w:snapToGrid w:val="0"/>
        <w:spacing w:line="440" w:lineRule="exact"/>
        <w:ind w:left="0" w:leftChars="0"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六、一般公共预算财政拨款支出决算表</w:t>
      </w:r>
    </w:p>
    <w:p>
      <w:pPr>
        <w:pStyle w:val="16"/>
        <w:adjustRightInd w:val="0"/>
        <w:snapToGrid w:val="0"/>
        <w:spacing w:line="440" w:lineRule="exact"/>
        <w:ind w:left="0" w:leftChars="0"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七、一般公共预算财政拨款支出决算明细表</w:t>
      </w:r>
    </w:p>
    <w:p>
      <w:pPr>
        <w:pStyle w:val="16"/>
        <w:adjustRightInd w:val="0"/>
        <w:snapToGrid w:val="0"/>
        <w:spacing w:line="440" w:lineRule="exact"/>
        <w:ind w:left="0" w:leftChars="0"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八、一般公共预算财政拨款基本支出决算表</w:t>
      </w:r>
    </w:p>
    <w:p>
      <w:pPr>
        <w:pStyle w:val="16"/>
        <w:adjustRightInd w:val="0"/>
        <w:snapToGrid w:val="0"/>
        <w:spacing w:line="440" w:lineRule="exact"/>
        <w:ind w:left="0" w:leftChars="0"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九、一般公共预算财政拨款项目支出决算表</w:t>
      </w:r>
    </w:p>
    <w:p>
      <w:pPr>
        <w:pStyle w:val="16"/>
        <w:adjustRightInd w:val="0"/>
        <w:snapToGrid w:val="0"/>
        <w:spacing w:line="440" w:lineRule="exact"/>
        <w:ind w:left="0" w:leftChars="0"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十、政府性基金预算财政拨款收入支出决算表</w:t>
      </w:r>
    </w:p>
    <w:p>
      <w:pPr>
        <w:pStyle w:val="16"/>
        <w:adjustRightInd w:val="0"/>
        <w:snapToGrid w:val="0"/>
        <w:spacing w:line="440" w:lineRule="exact"/>
        <w:ind w:left="0" w:leftChars="0"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十一、国有资本经营预算财政拨款收入支出决算表</w:t>
      </w:r>
    </w:p>
    <w:p>
      <w:pPr>
        <w:pStyle w:val="16"/>
        <w:adjustRightInd w:val="0"/>
        <w:snapToGrid w:val="0"/>
        <w:spacing w:line="440" w:lineRule="exact"/>
        <w:ind w:left="0" w:leftChars="0"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十二、国有资本经营预算财政拨款支出决算表</w:t>
      </w:r>
    </w:p>
    <w:p>
      <w:pPr>
        <w:pStyle w:val="16"/>
        <w:adjustRightInd w:val="0"/>
        <w:snapToGrid w:val="0"/>
        <w:spacing w:line="440" w:lineRule="exact"/>
        <w:ind w:left="0" w:leftChars="0"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十三、财政拨款“三公”经费支出决算表</w:t>
      </w:r>
    </w:p>
    <w:p>
      <w:pPr>
        <w:rPr>
          <w:rFonts w:ascii="黑体" w:hAnsi="黑体" w:eastAsia="黑体"/>
        </w:rPr>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bookmarkStart w:id="12" w:name="_Toc15377196"/>
      <w:bookmarkStart w:id="13" w:name="_Toc15396599"/>
    </w:p>
    <w:p>
      <w:pPr>
        <w:keepNext/>
        <w:keepLines/>
        <w:spacing w:line="660" w:lineRule="exact"/>
        <w:jc w:val="center"/>
        <w:rPr>
          <w:rStyle w:val="31"/>
          <w:rFonts w:ascii="黑体" w:hAnsi="黑体" w:eastAsia="黑体"/>
          <w:b w:val="0"/>
          <w:bCs w:val="0"/>
        </w:rPr>
      </w:pPr>
      <w:r>
        <w:rPr>
          <w:rFonts w:hint="eastAsia" w:ascii="黑体" w:hAnsi="黑体" w:eastAsia="黑体"/>
          <w:sz w:val="44"/>
          <w:szCs w:val="44"/>
        </w:rPr>
        <w:t xml:space="preserve">第一部分 </w:t>
      </w:r>
      <w:r>
        <w:rPr>
          <w:rStyle w:val="31"/>
          <w:rFonts w:hint="eastAsia" w:ascii="黑体" w:hAnsi="黑体" w:eastAsia="黑体"/>
          <w:b w:val="0"/>
          <w:bCs w:val="0"/>
        </w:rPr>
        <w:t>部门概况</w:t>
      </w:r>
      <w:bookmarkEnd w:id="12"/>
      <w:bookmarkEnd w:id="13"/>
    </w:p>
    <w:p>
      <w:pPr>
        <w:pStyle w:val="2"/>
      </w:pPr>
    </w:p>
    <w:p>
      <w:pPr>
        <w:spacing w:line="560" w:lineRule="exact"/>
        <w:ind w:firstLine="640" w:firstLineChars="200"/>
        <w:rPr>
          <w:rStyle w:val="32"/>
          <w:rFonts w:ascii="仿宋" w:hAnsi="仿宋" w:eastAsia="仿宋"/>
          <w:b w:val="0"/>
          <w:bCs w:val="0"/>
        </w:rPr>
      </w:pPr>
      <w:bookmarkStart w:id="14" w:name="_Toc15396600"/>
      <w:bookmarkStart w:id="15" w:name="_Toc15377197"/>
      <w:r>
        <w:rPr>
          <w:rStyle w:val="32"/>
          <w:rFonts w:hint="eastAsia" w:ascii="黑体" w:hAnsi="黑体" w:eastAsia="黑体"/>
          <w:b w:val="0"/>
          <w:bCs w:val="0"/>
        </w:rPr>
        <w:t>一、基本职能及主要工作</w:t>
      </w:r>
      <w:bookmarkEnd w:id="14"/>
      <w:bookmarkEnd w:id="15"/>
    </w:p>
    <w:p>
      <w:pPr>
        <w:pStyle w:val="7"/>
        <w:adjustRightInd w:val="0"/>
        <w:snapToGrid w:val="0"/>
        <w:spacing w:beforeLines="0" w:line="560" w:lineRule="exact"/>
        <w:ind w:firstLine="672" w:firstLineChars="210"/>
        <w:rPr>
          <w:rFonts w:ascii="楷体_GB2312" w:hAnsi="楷体_GB2312" w:eastAsia="楷体_GB2312" w:cs="楷体_GB2312"/>
          <w:bCs/>
          <w:sz w:val="32"/>
          <w:szCs w:val="32"/>
        </w:rPr>
      </w:pPr>
      <w:bookmarkStart w:id="16" w:name="_Toc15377198"/>
      <w:bookmarkStart w:id="17" w:name="_Toc15378445"/>
      <w:r>
        <w:rPr>
          <w:rFonts w:hint="eastAsia" w:ascii="楷体_GB2312" w:hAnsi="楷体_GB2312" w:eastAsia="楷体_GB2312" w:cs="楷体_GB2312"/>
          <w:bCs/>
          <w:sz w:val="32"/>
          <w:szCs w:val="32"/>
        </w:rPr>
        <w:t>（一）主要职能。</w:t>
      </w:r>
      <w:bookmarkEnd w:id="16"/>
      <w:bookmarkEnd w:id="17"/>
      <w:bookmarkStart w:id="18" w:name="_Toc15377199"/>
      <w:bookmarkStart w:id="19" w:name="_Toc15378446"/>
    </w:p>
    <w:p>
      <w:pPr>
        <w:pStyle w:val="7"/>
        <w:adjustRightInd w:val="0"/>
        <w:snapToGrid w:val="0"/>
        <w:spacing w:beforeLines="0" w:line="560" w:lineRule="exact"/>
        <w:ind w:firstLine="672" w:firstLineChars="210"/>
        <w:rPr>
          <w:rFonts w:ascii="Times New Roman" w:eastAsia="仿宋"/>
          <w:bCs/>
          <w:color w:val="000000"/>
          <w:sz w:val="32"/>
          <w:szCs w:val="32"/>
        </w:rPr>
      </w:pPr>
      <w:r>
        <w:rPr>
          <w:rFonts w:ascii="Times New Roman"/>
          <w:sz w:val="32"/>
          <w:szCs w:val="32"/>
        </w:rPr>
        <w:t>市委政法委是市委领导管理政法工作的职能部门和重要组织形式。在市委的统一领导下，统筹协调维护政治安全、社会治安综合治理、维护社会稳定等工作，指导推动大案要案查处，加强执法监督，组织开展政法宣传和舆论引导，深化政法改革，推进平安宜宾、法治宜宾建设，加强过硬队伍建设，深化智能化建设，协同市级有关职能部门管理监督政法领导干部，组织开展政法领域的调查研究。</w:t>
      </w:r>
    </w:p>
    <w:p>
      <w:pPr>
        <w:pStyle w:val="7"/>
        <w:adjustRightInd w:val="0"/>
        <w:snapToGrid w:val="0"/>
        <w:spacing w:beforeLines="0" w:line="560" w:lineRule="exact"/>
        <w:ind w:firstLine="672" w:firstLineChars="210"/>
        <w:rPr>
          <w:rFonts w:ascii="Times New Roman" w:eastAsia="楷体_GB2312"/>
          <w:bCs/>
          <w:sz w:val="32"/>
          <w:szCs w:val="32"/>
        </w:rPr>
      </w:pPr>
      <w:r>
        <w:rPr>
          <w:rFonts w:ascii="Times New Roman" w:eastAsia="楷体_GB2312"/>
          <w:bCs/>
          <w:sz w:val="32"/>
          <w:szCs w:val="32"/>
        </w:rPr>
        <w:t>（二）2022年重点工作完成情况。</w:t>
      </w:r>
      <w:bookmarkEnd w:id="18"/>
      <w:bookmarkEnd w:id="19"/>
    </w:p>
    <w:p>
      <w:pPr>
        <w:pStyle w:val="11"/>
        <w:spacing w:line="560" w:lineRule="exact"/>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rPr>
        <w:t>筑牢政治忠诚。</w:t>
      </w:r>
      <w:r>
        <w:rPr>
          <w:rFonts w:hint="eastAsia" w:ascii="Times New Roman" w:hAnsi="Times New Roman" w:eastAsia="仿宋_GB2312" w:cs="Times New Roman"/>
          <w:sz w:val="32"/>
          <w:szCs w:val="32"/>
        </w:rPr>
        <w:t>全面学习党的二十大精神、习近平总书记来川来宜视察重要指示精神和党中央、省委、市委系列重要会议精神，开展“一把手”专题党课辅导10场次，通过政治轮训组织学习教育活动260余场次，确保将系列重要精神贯彻到每个基层单位、每名政法干警。</w:t>
      </w:r>
      <w:r>
        <w:rPr>
          <w:rFonts w:hint="eastAsia" w:ascii="Times New Roman" w:hAnsi="Times New Roman" w:eastAsia="仿宋_GB2312" w:cs="Times New Roman"/>
          <w:b/>
          <w:bCs/>
          <w:sz w:val="32"/>
          <w:szCs w:val="32"/>
        </w:rPr>
        <w:t>全面实施平安系统创建。</w:t>
      </w:r>
      <w:r>
        <w:rPr>
          <w:rFonts w:hint="eastAsia" w:ascii="Times New Roman" w:hAnsi="Times New Roman" w:eastAsia="仿宋_GB2312" w:cs="Times New Roman"/>
          <w:sz w:val="32"/>
          <w:szCs w:val="32"/>
        </w:rPr>
        <w:t>锚定2025年创建“平安中国示范市”总目标，市委、市政府出台《宜宾市创建平安中国示范市实施意见》，高规格召开宜宾市创建平安中国建设示范市动员大会，广泛开展“建设平安宜宾•守护幸福家园”平安系统创建，累计创成84个省级、664个市级“六无”平安村（社区），</w:t>
      </w:r>
      <w:r>
        <w:rPr>
          <w:rFonts w:ascii="Times New Roman" w:hAnsi="Times New Roman" w:eastAsia="仿宋_GB2312" w:cs="Times New Roman"/>
          <w:sz w:val="32"/>
          <w:szCs w:val="32"/>
        </w:rPr>
        <w:t>顺利完成习近平总书记来川来宜视察、世界动力电池大会、党的二十大等系列重大会议活动维稳安保工作</w:t>
      </w:r>
      <w:r>
        <w:rPr>
          <w:rFonts w:hint="eastAsia" w:ascii="Times New Roman" w:hAnsi="Times New Roman" w:eastAsia="仿宋_GB2312" w:cs="Times New Roman"/>
          <w:sz w:val="32"/>
          <w:szCs w:val="32"/>
        </w:rPr>
        <w:t>，宜宾市和4个县（区）获评2021年度全省平安建设优秀市、全省平安建设先进县（区），平安建设考核荣获全省一等次。</w:t>
      </w:r>
      <w:r>
        <w:rPr>
          <w:rFonts w:hint="eastAsia" w:ascii="Times New Roman" w:hAnsi="Times New Roman" w:eastAsia="仿宋_GB2312" w:cs="Times New Roman"/>
          <w:b/>
          <w:bCs/>
          <w:sz w:val="32"/>
          <w:szCs w:val="32"/>
        </w:rPr>
        <w:t>务实推进全国市域社会治理现代化试点。</w:t>
      </w:r>
      <w:r>
        <w:rPr>
          <w:rFonts w:hint="eastAsia" w:ascii="Times New Roman" w:hAnsi="Times New Roman" w:eastAsia="仿宋_GB2312" w:cs="Times New Roman"/>
          <w:sz w:val="32"/>
          <w:szCs w:val="32"/>
        </w:rPr>
        <w:t>严格对标试点工作指引，建立“三次会诊”机制，已拉网式开展“一诊”交叉检查，确保完成试点终验。成功举办第二次全国市域社会治理现代化试点创新研讨班，</w:t>
      </w:r>
      <w:r>
        <w:rPr>
          <w:rFonts w:hint="eastAsia" w:ascii="Times New Roman" w:hAnsi="Times New Roman" w:eastAsia="仿宋_GB2312" w:cs="Times New Roman"/>
          <w:bCs/>
          <w:sz w:val="32"/>
          <w:szCs w:val="32"/>
        </w:rPr>
        <w:t>在全省市域社会治理现代化试点创新研讨班上作重点交流发言</w:t>
      </w:r>
      <w:r>
        <w:rPr>
          <w:rFonts w:hint="eastAsia" w:ascii="Times New Roman" w:hAnsi="Times New Roman" w:eastAsia="仿宋_GB2312" w:cs="Times New Roman"/>
          <w:sz w:val="32"/>
          <w:szCs w:val="32"/>
        </w:rPr>
        <w:t>。持续开展矛盾纠纷“大排查、大化解”、重大涉稳风险化解攻坚、“治重化积”“控源治本”行动，在全省率先成立多元化解纠纷促进会，创新实施</w:t>
      </w:r>
      <w:r>
        <w:rPr>
          <w:rFonts w:ascii="Times New Roman" w:hAnsi="Times New Roman" w:eastAsia="仿宋_GB2312" w:cs="Times New Roman"/>
          <w:sz w:val="32"/>
          <w:szCs w:val="32"/>
        </w:rPr>
        <w:t>“党建+110多调”</w:t>
      </w:r>
      <w:r>
        <w:rPr>
          <w:rFonts w:hint="eastAsia" w:ascii="Times New Roman" w:hAnsi="Times New Roman" w:eastAsia="仿宋_GB2312" w:cs="Times New Roman"/>
          <w:sz w:val="32"/>
          <w:szCs w:val="32"/>
        </w:rPr>
        <w:t>、信访稳定“红黑榜”机制，推动解决了一批“老大难”问题。</w:t>
      </w:r>
      <w:r>
        <w:rPr>
          <w:rFonts w:hint="eastAsia" w:ascii="Times New Roman" w:hAnsi="Times New Roman" w:eastAsia="仿宋_GB2312" w:cs="Times New Roman"/>
          <w:b/>
          <w:bCs/>
          <w:sz w:val="32"/>
          <w:szCs w:val="32"/>
        </w:rPr>
        <w:t>狠抓网格治理体系建设。</w:t>
      </w:r>
      <w:r>
        <w:rPr>
          <w:rFonts w:hint="eastAsia" w:ascii="Times New Roman" w:hAnsi="Times New Roman" w:eastAsia="仿宋_GB2312" w:cs="Times New Roman"/>
          <w:sz w:val="32"/>
          <w:szCs w:val="32"/>
        </w:rPr>
        <w:t>将网格治理作为城乡基层治理和市域社会治理双线融合的重要抓手，研究制定《宜宾市社区网格员队伍管理办法（试行）》等制度，推动网格治理走深走实，“全科网格员”入选全国市域社会治理创新优秀案例。宜宾“9•3”输入性疫情发生后，全市4236名网格员下沉疫情防控一线，探索推广“微网实格”“虚拟网格”等一批基层治理创新经验，提升网格治理质效。</w:t>
      </w:r>
    </w:p>
    <w:p>
      <w:pPr>
        <w:spacing w:line="560" w:lineRule="exact"/>
        <w:ind w:firstLine="640" w:firstLineChars="200"/>
        <w:rPr>
          <w:rStyle w:val="32"/>
          <w:b w:val="0"/>
          <w:bCs w:val="0"/>
        </w:rPr>
      </w:pPr>
      <w:bookmarkStart w:id="20" w:name="_Toc15377200"/>
      <w:bookmarkStart w:id="21" w:name="_Toc15396601"/>
      <w:r>
        <w:rPr>
          <w:rStyle w:val="32"/>
          <w:rFonts w:hint="eastAsia" w:ascii="黑体" w:hAnsi="黑体" w:eastAsia="黑体"/>
          <w:b w:val="0"/>
          <w:bCs w:val="0"/>
        </w:rPr>
        <w:t>二、机构设置</w:t>
      </w:r>
      <w:bookmarkEnd w:id="20"/>
      <w:bookmarkEnd w:id="21"/>
    </w:p>
    <w:p>
      <w:pPr>
        <w:spacing w:line="560" w:lineRule="exact"/>
        <w:ind w:firstLine="640" w:firstLineChars="200"/>
        <w:rPr>
          <w:rFonts w:eastAsia="仿宋_GB2312"/>
          <w:sz w:val="32"/>
          <w:szCs w:val="32"/>
        </w:rPr>
      </w:pPr>
      <w:bookmarkStart w:id="22" w:name="_Toc15396602"/>
      <w:bookmarkStart w:id="23" w:name="_Toc15377204"/>
      <w:r>
        <w:rPr>
          <w:rFonts w:eastAsia="仿宋_GB2312"/>
          <w:sz w:val="32"/>
          <w:szCs w:val="32"/>
        </w:rPr>
        <w:t>中共宜宾市委政法委员会无下属二级预算单位。</w:t>
      </w:r>
    </w:p>
    <w:p>
      <w:pPr>
        <w:spacing w:line="560" w:lineRule="exact"/>
        <w:rPr>
          <w:rFonts w:eastAsia="仿宋_GB2312"/>
        </w:rPr>
      </w:pPr>
    </w:p>
    <w:p>
      <w:pPr>
        <w:pStyle w:val="7"/>
        <w:spacing w:beforeLines="0" w:line="560" w:lineRule="exact"/>
        <w:rPr>
          <w:rFonts w:ascii="Times New Roman"/>
        </w:rPr>
      </w:pPr>
    </w:p>
    <w:p>
      <w:pPr>
        <w:pStyle w:val="7"/>
        <w:spacing w:beforeLines="0" w:line="560" w:lineRule="exact"/>
        <w:rPr>
          <w:rFonts w:ascii="Times New Roman"/>
        </w:rPr>
      </w:pPr>
    </w:p>
    <w:p>
      <w:pPr>
        <w:pStyle w:val="7"/>
        <w:spacing w:beforeLines="0" w:line="560" w:lineRule="exact"/>
        <w:rPr>
          <w:rFonts w:ascii="Times New Roman"/>
        </w:rPr>
      </w:pPr>
    </w:p>
    <w:p>
      <w:pPr>
        <w:spacing w:line="560" w:lineRule="exact"/>
        <w:jc w:val="center"/>
        <w:rPr>
          <w:rStyle w:val="31"/>
          <w:rFonts w:ascii="黑体" w:hAnsi="黑体" w:eastAsia="黑体"/>
          <w:b w:val="0"/>
        </w:rPr>
      </w:pPr>
      <w:r>
        <w:rPr>
          <w:rFonts w:hint="eastAsia" w:ascii="黑体" w:hAnsi="黑体" w:eastAsia="黑体"/>
          <w:sz w:val="44"/>
          <w:szCs w:val="44"/>
        </w:rPr>
        <w:t>第二部分 2022年度</w:t>
      </w:r>
      <w:r>
        <w:rPr>
          <w:rStyle w:val="31"/>
          <w:rFonts w:hint="eastAsia" w:ascii="黑体" w:hAnsi="黑体" w:eastAsia="黑体"/>
          <w:b w:val="0"/>
        </w:rPr>
        <w:t>部门决算情况说明</w:t>
      </w:r>
      <w:bookmarkEnd w:id="22"/>
      <w:bookmarkEnd w:id="23"/>
    </w:p>
    <w:p>
      <w:pPr>
        <w:pStyle w:val="2"/>
      </w:pPr>
    </w:p>
    <w:p>
      <w:pPr>
        <w:pStyle w:val="30"/>
        <w:spacing w:line="560" w:lineRule="exact"/>
        <w:ind w:firstLine="640"/>
        <w:rPr>
          <w:rStyle w:val="32"/>
          <w:rFonts w:ascii="黑体" w:hAnsi="黑体" w:eastAsia="黑体"/>
          <w:b w:val="0"/>
        </w:rPr>
      </w:pPr>
      <w:bookmarkStart w:id="24" w:name="_Toc15377205"/>
      <w:bookmarkStart w:id="25" w:name="_Toc15396603"/>
      <w:r>
        <w:rPr>
          <w:rFonts w:hint="eastAsia" w:ascii="黑体" w:hAnsi="黑体" w:eastAsia="黑体"/>
          <w:sz w:val="32"/>
          <w:szCs w:val="32"/>
        </w:rPr>
        <w:t>一、收</w:t>
      </w:r>
      <w:r>
        <w:rPr>
          <w:rStyle w:val="32"/>
          <w:rFonts w:hint="eastAsia" w:ascii="黑体" w:hAnsi="黑体" w:eastAsia="黑体"/>
          <w:b w:val="0"/>
        </w:rPr>
        <w:t>入支出决算总体情况说明</w:t>
      </w:r>
      <w:bookmarkEnd w:id="24"/>
      <w:bookmarkEnd w:id="25"/>
    </w:p>
    <w:p>
      <w:pPr>
        <w:spacing w:line="560" w:lineRule="exact"/>
        <w:ind w:firstLine="640" w:firstLineChars="200"/>
        <w:rPr>
          <w:rFonts w:ascii="仿宋_GB2312" w:eastAsia="仿宋"/>
          <w:sz w:val="32"/>
          <w:szCs w:val="32"/>
        </w:rPr>
      </w:pPr>
      <w:r>
        <w:rPr>
          <w:rFonts w:hint="eastAsia" w:ascii="仿宋" w:hAnsi="仿宋" w:eastAsia="仿宋"/>
          <w:sz w:val="32"/>
          <w:szCs w:val="32"/>
        </w:rPr>
        <w:t>2022年度收、支总计3798.92万元。与2021年相比，收、支总计各减少1329.45万元，下降25.92</w:t>
      </w:r>
      <w:r>
        <w:rPr>
          <w:rFonts w:ascii="仿宋" w:hAnsi="仿宋" w:eastAsia="仿宋"/>
          <w:sz w:val="32"/>
          <w:szCs w:val="32"/>
        </w:rPr>
        <w:t>%</w:t>
      </w:r>
      <w:r>
        <w:rPr>
          <w:rFonts w:hint="eastAsia" w:ascii="仿宋" w:hAnsi="仿宋" w:eastAsia="仿宋"/>
          <w:sz w:val="32"/>
          <w:szCs w:val="32"/>
        </w:rPr>
        <w:t>。主要变动原因是项目经费有所减少。</w:t>
      </w:r>
    </w:p>
    <w:p>
      <w:pPr>
        <w:pStyle w:val="30"/>
        <w:spacing w:line="560" w:lineRule="exact"/>
        <w:ind w:firstLine="640"/>
        <w:rPr>
          <w:rFonts w:ascii="黑体" w:hAnsi="黑体" w:eastAsia="黑体"/>
          <w:sz w:val="32"/>
          <w:szCs w:val="32"/>
        </w:rPr>
      </w:pPr>
      <w:bookmarkStart w:id="26" w:name="_Toc15396604"/>
      <w:bookmarkStart w:id="27" w:name="_Toc15377206"/>
      <w:r>
        <w:rPr>
          <w:rFonts w:hint="eastAsia" w:ascii="黑体" w:hAnsi="黑体" w:eastAsia="黑体"/>
          <w:sz w:val="32"/>
          <w:szCs w:val="32"/>
        </w:rPr>
        <w:t>二、收入决算情况说明</w:t>
      </w:r>
      <w:bookmarkEnd w:id="26"/>
      <w:bookmarkEnd w:id="27"/>
    </w:p>
    <w:p>
      <w:pPr>
        <w:spacing w:line="560" w:lineRule="exact"/>
        <w:ind w:firstLine="640" w:firstLineChars="200"/>
        <w:rPr>
          <w:rFonts w:ascii="仿宋_GB2312" w:eastAsia="仿宋_GB2312"/>
          <w:sz w:val="32"/>
          <w:szCs w:val="32"/>
        </w:rPr>
      </w:pPr>
      <w:r>
        <w:rPr>
          <w:rFonts w:hint="eastAsia" w:ascii="仿宋" w:hAnsi="仿宋" w:eastAsia="仿宋"/>
          <w:sz w:val="32"/>
          <w:szCs w:val="32"/>
        </w:rPr>
        <w:t>2022年本年收入合计3798.92万元，其中：一般公共预算财政拨款收入3798.92万元，占100</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p>
    <w:p>
      <w:pPr>
        <w:pStyle w:val="30"/>
        <w:spacing w:line="560" w:lineRule="exact"/>
        <w:ind w:firstLine="640"/>
        <w:rPr>
          <w:rStyle w:val="32"/>
          <w:rFonts w:ascii="黑体" w:hAnsi="黑体" w:eastAsia="黑体"/>
          <w:b w:val="0"/>
        </w:rPr>
      </w:pPr>
      <w:bookmarkStart w:id="28" w:name="_Toc15396605"/>
      <w:bookmarkStart w:id="29" w:name="_Toc15377207"/>
      <w:r>
        <w:rPr>
          <w:rFonts w:hint="eastAsia" w:ascii="黑体" w:hAnsi="黑体" w:eastAsia="黑体"/>
          <w:sz w:val="32"/>
          <w:szCs w:val="32"/>
        </w:rPr>
        <w:t>三、支</w:t>
      </w:r>
      <w:r>
        <w:rPr>
          <w:rStyle w:val="32"/>
          <w:rFonts w:hint="eastAsia" w:ascii="黑体" w:hAnsi="黑体" w:eastAsia="黑体"/>
          <w:b w:val="0"/>
        </w:rPr>
        <w:t>出决算情况说明</w:t>
      </w:r>
      <w:bookmarkEnd w:id="28"/>
      <w:bookmarkEnd w:id="29"/>
    </w:p>
    <w:p>
      <w:pPr>
        <w:spacing w:line="560" w:lineRule="exact"/>
        <w:ind w:firstLine="640" w:firstLineChars="200"/>
        <w:rPr>
          <w:rFonts w:ascii="仿宋" w:hAnsi="仿宋" w:eastAsia="仿宋"/>
          <w:sz w:val="32"/>
          <w:szCs w:val="32"/>
        </w:rPr>
      </w:pPr>
      <w:r>
        <w:rPr>
          <w:rFonts w:hint="eastAsia" w:ascii="仿宋" w:hAnsi="仿宋" w:eastAsia="仿宋"/>
          <w:sz w:val="32"/>
          <w:szCs w:val="32"/>
        </w:rPr>
        <w:t>2022年本年支出合计3798.92万元，其中：基本支出825.11万元，占21.72%；项目支出2973.81万元，占78.28%；上缴上级支出0万元，占0%；经营支出0万元，占0%；对附属单位补助支出0万元，占0%。</w:t>
      </w:r>
    </w:p>
    <w:p>
      <w:pPr>
        <w:spacing w:line="560" w:lineRule="exact"/>
        <w:ind w:firstLine="640" w:firstLineChars="200"/>
        <w:rPr>
          <w:rStyle w:val="32"/>
          <w:rFonts w:ascii="黑体" w:hAnsi="黑体" w:eastAsia="黑体"/>
          <w:b w:val="0"/>
        </w:rPr>
      </w:pPr>
      <w:bookmarkStart w:id="30" w:name="_Toc15396606"/>
      <w:bookmarkStart w:id="31" w:name="_Toc15377208"/>
      <w:r>
        <w:rPr>
          <w:rFonts w:hint="eastAsia" w:ascii="黑体" w:hAnsi="黑体" w:eastAsia="黑体"/>
          <w:sz w:val="32"/>
          <w:szCs w:val="32"/>
        </w:rPr>
        <w:t>四、财</w:t>
      </w:r>
      <w:r>
        <w:rPr>
          <w:rStyle w:val="32"/>
          <w:rFonts w:hint="eastAsia" w:ascii="黑体" w:hAnsi="黑体" w:eastAsia="黑体"/>
          <w:b w:val="0"/>
        </w:rPr>
        <w:t>政拨款收入支出决算总体情况说明</w:t>
      </w:r>
      <w:bookmarkEnd w:id="30"/>
      <w:bookmarkEnd w:id="31"/>
    </w:p>
    <w:p>
      <w:pPr>
        <w:spacing w:line="560" w:lineRule="exact"/>
        <w:ind w:firstLine="640" w:firstLineChars="200"/>
        <w:rPr>
          <w:rFonts w:ascii="仿宋_GB2312" w:eastAsia="仿宋"/>
          <w:sz w:val="32"/>
          <w:szCs w:val="32"/>
        </w:rPr>
      </w:pPr>
      <w:r>
        <w:rPr>
          <w:rFonts w:hint="eastAsia" w:ascii="仿宋" w:hAnsi="仿宋" w:eastAsia="仿宋"/>
          <w:sz w:val="32"/>
          <w:szCs w:val="32"/>
        </w:rPr>
        <w:t>2022年财政拨款收、支总计3798.92万元。与2021年相比，财政拨款收、支总计各减少1329.45万元，下降25.92</w:t>
      </w:r>
      <w:r>
        <w:rPr>
          <w:rFonts w:ascii="仿宋" w:hAnsi="仿宋" w:eastAsia="仿宋"/>
          <w:sz w:val="32"/>
          <w:szCs w:val="32"/>
        </w:rPr>
        <w:t>%</w:t>
      </w:r>
      <w:r>
        <w:rPr>
          <w:rFonts w:hint="eastAsia" w:ascii="仿宋" w:hAnsi="仿宋" w:eastAsia="仿宋"/>
          <w:sz w:val="32"/>
          <w:szCs w:val="32"/>
        </w:rPr>
        <w:t>。主要变动原因是项目经费有所减少。</w:t>
      </w:r>
    </w:p>
    <w:p>
      <w:pPr>
        <w:spacing w:line="560" w:lineRule="exact"/>
        <w:ind w:firstLine="642" w:firstLineChars="200"/>
        <w:rPr>
          <w:rFonts w:ascii="仿宋" w:hAnsi="仿宋" w:eastAsia="仿宋"/>
          <w:b/>
          <w:sz w:val="32"/>
          <w:szCs w:val="32"/>
        </w:rPr>
      </w:pPr>
    </w:p>
    <w:p>
      <w:pPr>
        <w:spacing w:line="560" w:lineRule="exact"/>
        <w:ind w:firstLine="640" w:firstLineChars="200"/>
        <w:rPr>
          <w:rStyle w:val="32"/>
          <w:rFonts w:ascii="黑体" w:hAnsi="黑体" w:eastAsia="黑体"/>
          <w:b w:val="0"/>
        </w:rPr>
      </w:pPr>
      <w:bookmarkStart w:id="32" w:name="_Toc15377209"/>
      <w:bookmarkStart w:id="33" w:name="_Toc15396607"/>
      <w:r>
        <w:rPr>
          <w:rFonts w:hint="eastAsia" w:ascii="黑体" w:hAnsi="黑体" w:eastAsia="黑体"/>
          <w:sz w:val="32"/>
          <w:szCs w:val="32"/>
        </w:rPr>
        <w:t>五、</w:t>
      </w:r>
      <w:r>
        <w:rPr>
          <w:rFonts w:hint="eastAsia" w:ascii="黑体" w:hAnsi="黑体" w:eastAsia="黑体"/>
          <w:b/>
          <w:sz w:val="32"/>
          <w:szCs w:val="32"/>
        </w:rPr>
        <w:t>一</w:t>
      </w:r>
      <w:r>
        <w:rPr>
          <w:rStyle w:val="32"/>
          <w:rFonts w:hint="eastAsia" w:ascii="黑体" w:hAnsi="黑体" w:eastAsia="黑体"/>
          <w:b w:val="0"/>
        </w:rPr>
        <w:t>般公共预算财政拨款支出决算情况说明</w:t>
      </w:r>
      <w:bookmarkEnd w:id="32"/>
      <w:bookmarkEnd w:id="33"/>
    </w:p>
    <w:p>
      <w:pPr>
        <w:spacing w:line="560" w:lineRule="exact"/>
        <w:ind w:firstLine="640" w:firstLineChars="200"/>
        <w:rPr>
          <w:rFonts w:ascii="楷体_GB2312" w:hAnsi="楷体_GB2312" w:eastAsia="楷体_GB2312" w:cs="楷体_GB2312"/>
          <w:bCs/>
          <w:sz w:val="32"/>
          <w:szCs w:val="32"/>
        </w:rPr>
      </w:pPr>
      <w:bookmarkStart w:id="34" w:name="_Toc15377210"/>
      <w:r>
        <w:rPr>
          <w:rFonts w:hint="eastAsia" w:ascii="楷体_GB2312" w:hAnsi="楷体_GB2312" w:eastAsia="楷体_GB2312" w:cs="楷体_GB2312"/>
          <w:bCs/>
          <w:sz w:val="32"/>
          <w:szCs w:val="32"/>
        </w:rPr>
        <w:t>（一）一般公共预算财政拨款支出决算总体情况</w:t>
      </w:r>
      <w:bookmarkEnd w:id="34"/>
    </w:p>
    <w:p>
      <w:pPr>
        <w:spacing w:line="560" w:lineRule="exact"/>
        <w:ind w:firstLine="640" w:firstLineChars="200"/>
        <w:rPr>
          <w:rFonts w:ascii="仿宋" w:hAnsi="仿宋" w:eastAsia="仿宋"/>
          <w:sz w:val="32"/>
          <w:szCs w:val="32"/>
        </w:rPr>
      </w:pPr>
      <w:r>
        <w:rPr>
          <w:rFonts w:hint="eastAsia" w:ascii="仿宋" w:hAnsi="仿宋" w:eastAsia="仿宋"/>
          <w:sz w:val="32"/>
          <w:szCs w:val="32"/>
        </w:rPr>
        <w:t>2022年一般公共预算财政拨款支出3798.92万元，占本年支出合计的100</w:t>
      </w:r>
      <w:r>
        <w:rPr>
          <w:rFonts w:ascii="仿宋" w:hAnsi="仿宋" w:eastAsia="仿宋"/>
          <w:sz w:val="32"/>
          <w:szCs w:val="32"/>
        </w:rPr>
        <w:t>%</w:t>
      </w:r>
      <w:r>
        <w:rPr>
          <w:rFonts w:hint="eastAsia" w:ascii="仿宋" w:hAnsi="仿宋" w:eastAsia="仿宋"/>
          <w:sz w:val="32"/>
          <w:szCs w:val="32"/>
        </w:rPr>
        <w:t>。与2021年相比，一般公共预算财政拨款支出减少1239.45万元，减少24.6</w:t>
      </w:r>
      <w:r>
        <w:rPr>
          <w:rFonts w:ascii="仿宋" w:hAnsi="仿宋" w:eastAsia="仿宋"/>
          <w:sz w:val="32"/>
          <w:szCs w:val="32"/>
        </w:rPr>
        <w:t>%</w:t>
      </w:r>
      <w:r>
        <w:rPr>
          <w:rFonts w:hint="eastAsia" w:ascii="仿宋" w:hAnsi="仿宋" w:eastAsia="仿宋"/>
          <w:sz w:val="32"/>
          <w:szCs w:val="32"/>
        </w:rPr>
        <w:t>。主要变动原因是</w:t>
      </w:r>
      <w:r>
        <w:rPr>
          <w:rFonts w:hint="eastAsia" w:hAnsi="仿宋" w:eastAsia="仿宋"/>
          <w:color w:val="000000"/>
          <w:sz w:val="32"/>
          <w:szCs w:val="32"/>
        </w:rPr>
        <w:t>宜宾市公共安全视频监控联网项目经费减少，教育整顿相关经费减少。</w:t>
      </w:r>
    </w:p>
    <w:p>
      <w:pPr>
        <w:spacing w:line="560" w:lineRule="exact"/>
        <w:ind w:firstLine="640" w:firstLineChars="200"/>
        <w:rPr>
          <w:rFonts w:ascii="楷体_GB2312" w:hAnsi="楷体_GB2312" w:eastAsia="楷体_GB2312" w:cs="楷体_GB2312"/>
          <w:bCs/>
          <w:sz w:val="32"/>
          <w:szCs w:val="32"/>
        </w:rPr>
      </w:pPr>
      <w:bookmarkStart w:id="35" w:name="_Toc15377211"/>
      <w:r>
        <w:rPr>
          <w:rFonts w:hint="eastAsia" w:ascii="楷体_GB2312" w:hAnsi="楷体_GB2312" w:eastAsia="楷体_GB2312" w:cs="楷体_GB2312"/>
          <w:bCs/>
          <w:sz w:val="32"/>
          <w:szCs w:val="32"/>
        </w:rPr>
        <w:t>（二）一般公共预算财政拨款支出决算结构情况</w:t>
      </w:r>
      <w:bookmarkEnd w:id="35"/>
    </w:p>
    <w:p>
      <w:pPr>
        <w:spacing w:line="560" w:lineRule="exact"/>
        <w:ind w:firstLine="640"/>
        <w:rPr>
          <w:rFonts w:ascii="仿宋" w:hAnsi="仿宋" w:eastAsia="仿宋"/>
          <w:sz w:val="32"/>
          <w:szCs w:val="32"/>
        </w:rPr>
      </w:pPr>
      <w:r>
        <w:rPr>
          <w:rFonts w:hint="eastAsia" w:ascii="仿宋" w:hAnsi="仿宋" w:eastAsia="仿宋"/>
          <w:sz w:val="32"/>
          <w:szCs w:val="32"/>
        </w:rPr>
        <w:t>2022年一般公共预算财政拨款支出3798.92万元，主要用于以下方面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支出1577.96万元，占41.54</w:t>
      </w:r>
      <w:r>
        <w:rPr>
          <w:rFonts w:ascii="仿宋" w:hAnsi="仿宋" w:eastAsia="仿宋"/>
          <w:sz w:val="32"/>
          <w:szCs w:val="32"/>
        </w:rPr>
        <w:t>%</w:t>
      </w:r>
      <w:r>
        <w:rPr>
          <w:rFonts w:hint="eastAsia" w:ascii="仿宋" w:hAnsi="仿宋" w:eastAsia="仿宋"/>
          <w:sz w:val="32"/>
          <w:szCs w:val="32"/>
        </w:rPr>
        <w:t>；</w:t>
      </w:r>
      <w:r>
        <w:rPr>
          <w:rFonts w:hAnsi="仿宋" w:eastAsia="仿宋"/>
          <w:b/>
          <w:color w:val="000000"/>
          <w:sz w:val="32"/>
          <w:szCs w:val="32"/>
        </w:rPr>
        <w:t>公共安全支出（类）</w:t>
      </w:r>
      <w:r>
        <w:rPr>
          <w:rFonts w:hint="eastAsia" w:ascii="仿宋" w:hAnsi="仿宋" w:eastAsia="仿宋"/>
          <w:sz w:val="32"/>
          <w:szCs w:val="32"/>
        </w:rPr>
        <w:t>2045.50万元，占53.84%；</w:t>
      </w:r>
      <w:r>
        <w:rPr>
          <w:rFonts w:hint="eastAsia" w:ascii="仿宋" w:hAnsi="仿宋" w:eastAsia="仿宋"/>
          <w:b/>
          <w:sz w:val="32"/>
          <w:szCs w:val="32"/>
        </w:rPr>
        <w:t>社会保障和就业（类）</w:t>
      </w:r>
      <w:r>
        <w:rPr>
          <w:rFonts w:hint="eastAsia" w:ascii="仿宋" w:hAnsi="仿宋" w:eastAsia="仿宋"/>
          <w:sz w:val="32"/>
          <w:szCs w:val="32"/>
        </w:rPr>
        <w:t>支出83.83万元，占2.21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27.88万元，占0.73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住房保障支出63.75</w:t>
      </w:r>
      <w:r>
        <w:rPr>
          <w:rFonts w:hint="eastAsia" w:ascii="仿宋" w:hAnsi="仿宋" w:eastAsia="仿宋"/>
          <w:sz w:val="32"/>
          <w:szCs w:val="32"/>
        </w:rPr>
        <w:t>万元，占1.68</w:t>
      </w:r>
      <w:r>
        <w:rPr>
          <w:rFonts w:ascii="仿宋" w:hAnsi="仿宋" w:eastAsia="仿宋"/>
          <w:sz w:val="32"/>
          <w:szCs w:val="32"/>
        </w:rPr>
        <w:t>%</w:t>
      </w:r>
      <w:r>
        <w:rPr>
          <w:rFonts w:hint="eastAsia" w:ascii="仿宋" w:hAnsi="仿宋" w:eastAsia="仿宋"/>
          <w:sz w:val="32"/>
          <w:szCs w:val="32"/>
        </w:rPr>
        <w:t>。</w:t>
      </w:r>
    </w:p>
    <w:p>
      <w:pPr>
        <w:spacing w:line="560" w:lineRule="exact"/>
        <w:ind w:firstLine="640" w:firstLineChars="200"/>
        <w:rPr>
          <w:rFonts w:ascii="楷体_GB2312" w:hAnsi="楷体_GB2312" w:eastAsia="楷体_GB2312" w:cs="楷体_GB2312"/>
          <w:bCs/>
          <w:sz w:val="32"/>
          <w:szCs w:val="32"/>
        </w:rPr>
      </w:pPr>
      <w:bookmarkStart w:id="36" w:name="_Toc15377212"/>
      <w:r>
        <w:rPr>
          <w:rFonts w:hint="eastAsia" w:ascii="楷体_GB2312" w:hAnsi="楷体_GB2312" w:eastAsia="楷体_GB2312" w:cs="楷体_GB2312"/>
          <w:bCs/>
          <w:sz w:val="32"/>
          <w:szCs w:val="32"/>
        </w:rPr>
        <w:t>（三）一般公共预算财政拨款支出决算具体情况</w:t>
      </w:r>
      <w:bookmarkEnd w:id="36"/>
    </w:p>
    <w:p>
      <w:pPr>
        <w:spacing w:line="560" w:lineRule="exact"/>
        <w:ind w:firstLine="642" w:firstLineChars="200"/>
        <w:rPr>
          <w:rFonts w:ascii="仿宋" w:hAnsi="仿宋" w:eastAsia="仿宋"/>
          <w:sz w:val="32"/>
          <w:szCs w:val="32"/>
        </w:rPr>
      </w:pPr>
      <w:bookmarkStart w:id="37" w:name="_Toc15377213"/>
      <w:bookmarkStart w:id="38" w:name="_Toc15378460"/>
      <w:bookmarkStart w:id="39" w:name="_Toc15377444"/>
      <w:r>
        <w:rPr>
          <w:rFonts w:hint="eastAsia" w:ascii="仿宋" w:hAnsi="仿宋" w:eastAsia="仿宋"/>
          <w:b/>
          <w:sz w:val="32"/>
          <w:szCs w:val="32"/>
        </w:rPr>
        <w:t>2022年一般公共预算支出决算数为</w:t>
      </w:r>
      <w:r>
        <w:rPr>
          <w:rFonts w:hint="eastAsia" w:ascii="仿宋" w:hAnsi="仿宋" w:eastAsia="仿宋"/>
          <w:sz w:val="32"/>
          <w:szCs w:val="32"/>
        </w:rPr>
        <w:t>3798.92万元，完成预算100%。其中：</w:t>
      </w:r>
      <w:bookmarkEnd w:id="37"/>
      <w:bookmarkEnd w:id="38"/>
      <w:bookmarkEnd w:id="39"/>
    </w:p>
    <w:p>
      <w:pPr>
        <w:numPr>
          <w:ilvl w:val="0"/>
          <w:numId w:val="1"/>
        </w:numPr>
        <w:spacing w:line="560" w:lineRule="exact"/>
        <w:ind w:firstLine="642" w:firstLineChars="200"/>
        <w:rPr>
          <w:rStyle w:val="21"/>
          <w:rFonts w:hAnsi="仿宋" w:eastAsia="仿宋"/>
          <w:b w:val="0"/>
          <w:bCs/>
          <w:color w:val="000000"/>
          <w:sz w:val="32"/>
          <w:szCs w:val="32"/>
        </w:rPr>
      </w:pPr>
      <w:r>
        <w:rPr>
          <w:rStyle w:val="21"/>
          <w:rFonts w:hAnsi="仿宋" w:eastAsia="仿宋"/>
          <w:bCs/>
          <w:color w:val="000000"/>
          <w:sz w:val="32"/>
          <w:szCs w:val="32"/>
        </w:rPr>
        <w:t>一般公共服务（类）党委办公厅（室）及相关机构事务（款）行政运行（项）</w:t>
      </w:r>
      <w:r>
        <w:rPr>
          <w:rStyle w:val="21"/>
          <w:rFonts w:eastAsia="仿宋"/>
          <w:bCs/>
          <w:color w:val="000000"/>
          <w:sz w:val="32"/>
          <w:szCs w:val="32"/>
        </w:rPr>
        <w:t>:</w:t>
      </w:r>
      <w:r>
        <w:rPr>
          <w:rStyle w:val="21"/>
          <w:rFonts w:eastAsia="仿宋"/>
          <w:b w:val="0"/>
          <w:bCs/>
          <w:color w:val="000000"/>
          <w:sz w:val="32"/>
          <w:szCs w:val="32"/>
        </w:rPr>
        <w:t xml:space="preserve"> </w:t>
      </w:r>
      <w:r>
        <w:rPr>
          <w:rStyle w:val="21"/>
          <w:rFonts w:hAnsi="仿宋" w:eastAsia="仿宋"/>
          <w:b w:val="0"/>
          <w:bCs/>
          <w:color w:val="000000"/>
          <w:sz w:val="32"/>
          <w:szCs w:val="32"/>
        </w:rPr>
        <w:t>支出决算为</w:t>
      </w:r>
      <w:r>
        <w:rPr>
          <w:rFonts w:hint="eastAsia" w:ascii="仿宋" w:hAnsi="仿宋" w:eastAsia="仿宋"/>
          <w:sz w:val="32"/>
          <w:szCs w:val="32"/>
        </w:rPr>
        <w:t>625.05万元，完成预算100%，</w:t>
      </w:r>
      <w:r>
        <w:rPr>
          <w:rStyle w:val="21"/>
          <w:rFonts w:hAnsi="仿宋" w:eastAsia="仿宋"/>
          <w:b w:val="0"/>
          <w:bCs/>
          <w:color w:val="000000"/>
          <w:sz w:val="32"/>
          <w:szCs w:val="32"/>
        </w:rPr>
        <w:t>决算数等于预算数。</w:t>
      </w:r>
    </w:p>
    <w:p>
      <w:pPr>
        <w:numPr>
          <w:ilvl w:val="0"/>
          <w:numId w:val="1"/>
        </w:numPr>
        <w:spacing w:line="560" w:lineRule="exact"/>
        <w:ind w:firstLine="642" w:firstLineChars="200"/>
        <w:rPr>
          <w:rFonts w:eastAsia="仿宋"/>
          <w:b/>
          <w:color w:val="000000"/>
          <w:sz w:val="32"/>
          <w:szCs w:val="32"/>
        </w:rPr>
      </w:pPr>
      <w:r>
        <w:rPr>
          <w:rStyle w:val="21"/>
          <w:rFonts w:hAnsi="仿宋" w:eastAsia="仿宋"/>
          <w:bCs/>
          <w:color w:val="000000"/>
          <w:sz w:val="32"/>
          <w:szCs w:val="32"/>
        </w:rPr>
        <w:t>一般公共服务（类）</w:t>
      </w:r>
      <w:r>
        <w:rPr>
          <w:rStyle w:val="21"/>
          <w:rFonts w:hint="eastAsia" w:hAnsi="仿宋" w:eastAsia="仿宋"/>
          <w:bCs/>
          <w:color w:val="000000"/>
          <w:sz w:val="32"/>
          <w:szCs w:val="32"/>
        </w:rPr>
        <w:t>政府办公厅（室）及相关机构事务</w:t>
      </w:r>
      <w:r>
        <w:rPr>
          <w:rStyle w:val="21"/>
          <w:rFonts w:hAnsi="仿宋" w:eastAsia="仿宋"/>
          <w:bCs/>
          <w:color w:val="000000"/>
          <w:sz w:val="32"/>
          <w:szCs w:val="32"/>
        </w:rPr>
        <w:t>（款）行政运行（项）</w:t>
      </w:r>
      <w:r>
        <w:rPr>
          <w:rStyle w:val="21"/>
          <w:rFonts w:eastAsia="仿宋"/>
          <w:bCs/>
          <w:color w:val="000000"/>
          <w:sz w:val="32"/>
          <w:szCs w:val="32"/>
        </w:rPr>
        <w:t>:</w:t>
      </w:r>
      <w:r>
        <w:rPr>
          <w:rStyle w:val="21"/>
          <w:rFonts w:eastAsia="仿宋"/>
          <w:b w:val="0"/>
          <w:bCs/>
          <w:color w:val="000000"/>
          <w:sz w:val="32"/>
          <w:szCs w:val="32"/>
        </w:rPr>
        <w:t xml:space="preserve"> </w:t>
      </w:r>
      <w:r>
        <w:rPr>
          <w:rStyle w:val="21"/>
          <w:rFonts w:hAnsi="仿宋" w:eastAsia="仿宋"/>
          <w:b w:val="0"/>
          <w:bCs/>
          <w:color w:val="000000"/>
          <w:sz w:val="32"/>
          <w:szCs w:val="32"/>
        </w:rPr>
        <w:t>支出决算为</w:t>
      </w:r>
      <w:r>
        <w:rPr>
          <w:rStyle w:val="21"/>
          <w:rFonts w:hint="eastAsia" w:eastAsia="仿宋"/>
          <w:b w:val="0"/>
          <w:bCs/>
          <w:color w:val="000000"/>
          <w:sz w:val="32"/>
          <w:szCs w:val="32"/>
        </w:rPr>
        <w:t>15.73</w:t>
      </w:r>
      <w:r>
        <w:rPr>
          <w:rStyle w:val="21"/>
          <w:rFonts w:hAnsi="仿宋" w:eastAsia="仿宋"/>
          <w:b w:val="0"/>
          <w:bCs/>
          <w:color w:val="000000"/>
          <w:sz w:val="32"/>
          <w:szCs w:val="32"/>
        </w:rPr>
        <w:t>万元，完成预算</w:t>
      </w:r>
      <w:r>
        <w:rPr>
          <w:rStyle w:val="21"/>
          <w:rFonts w:eastAsia="仿宋"/>
          <w:b w:val="0"/>
          <w:bCs/>
          <w:color w:val="000000"/>
          <w:sz w:val="32"/>
          <w:szCs w:val="32"/>
        </w:rPr>
        <w:t>100%</w:t>
      </w:r>
      <w:r>
        <w:rPr>
          <w:rStyle w:val="21"/>
          <w:rFonts w:hAnsi="仿宋" w:eastAsia="仿宋"/>
          <w:b w:val="0"/>
          <w:bCs/>
          <w:color w:val="000000"/>
          <w:sz w:val="32"/>
          <w:szCs w:val="32"/>
        </w:rPr>
        <w:t>，决算数等于预算数。</w:t>
      </w:r>
    </w:p>
    <w:p>
      <w:pPr>
        <w:numPr>
          <w:ilvl w:val="0"/>
          <w:numId w:val="1"/>
        </w:numPr>
        <w:spacing w:line="560" w:lineRule="exact"/>
        <w:ind w:firstLine="642" w:firstLineChars="200"/>
        <w:rPr>
          <w:rFonts w:eastAsia="仿宋"/>
          <w:b/>
          <w:color w:val="000000"/>
          <w:sz w:val="32"/>
          <w:szCs w:val="32"/>
        </w:rPr>
      </w:pPr>
      <w:r>
        <w:rPr>
          <w:rStyle w:val="21"/>
          <w:rFonts w:hAnsi="仿宋" w:eastAsia="仿宋"/>
          <w:bCs/>
          <w:color w:val="000000"/>
          <w:sz w:val="32"/>
          <w:szCs w:val="32"/>
        </w:rPr>
        <w:t>一般公共服务（类）党委办公厅（室）及相关机构事务（款）一般行政事务管理（项）</w:t>
      </w:r>
      <w:r>
        <w:rPr>
          <w:rStyle w:val="21"/>
          <w:rFonts w:eastAsia="仿宋"/>
          <w:bCs/>
          <w:color w:val="000000"/>
          <w:sz w:val="32"/>
          <w:szCs w:val="32"/>
        </w:rPr>
        <w:t>:</w:t>
      </w:r>
      <w:r>
        <w:rPr>
          <w:rStyle w:val="21"/>
          <w:rFonts w:eastAsia="仿宋"/>
          <w:b w:val="0"/>
          <w:bCs/>
          <w:color w:val="000000"/>
          <w:sz w:val="32"/>
          <w:szCs w:val="32"/>
        </w:rPr>
        <w:t xml:space="preserve"> </w:t>
      </w:r>
      <w:r>
        <w:rPr>
          <w:rStyle w:val="21"/>
          <w:rFonts w:hAnsi="仿宋" w:eastAsia="仿宋"/>
          <w:b w:val="0"/>
          <w:bCs/>
          <w:color w:val="000000"/>
          <w:sz w:val="32"/>
          <w:szCs w:val="32"/>
        </w:rPr>
        <w:t>支出决算为</w:t>
      </w:r>
      <w:r>
        <w:rPr>
          <w:rStyle w:val="21"/>
          <w:rFonts w:hint="eastAsia" w:eastAsia="仿宋"/>
          <w:b w:val="0"/>
          <w:bCs/>
          <w:color w:val="000000"/>
          <w:sz w:val="32"/>
          <w:szCs w:val="32"/>
        </w:rPr>
        <w:t>928.31</w:t>
      </w:r>
      <w:r>
        <w:rPr>
          <w:rStyle w:val="21"/>
          <w:rFonts w:hAnsi="仿宋" w:eastAsia="仿宋"/>
          <w:b w:val="0"/>
          <w:bCs/>
          <w:color w:val="000000"/>
          <w:sz w:val="32"/>
          <w:szCs w:val="32"/>
        </w:rPr>
        <w:t>万元，完成预算</w:t>
      </w:r>
      <w:r>
        <w:rPr>
          <w:rStyle w:val="21"/>
          <w:rFonts w:eastAsia="仿宋"/>
          <w:b w:val="0"/>
          <w:bCs/>
          <w:color w:val="000000"/>
          <w:sz w:val="32"/>
          <w:szCs w:val="32"/>
        </w:rPr>
        <w:t>100%</w:t>
      </w:r>
      <w:r>
        <w:rPr>
          <w:rStyle w:val="21"/>
          <w:rFonts w:hAnsi="仿宋" w:eastAsia="仿宋"/>
          <w:b w:val="0"/>
          <w:bCs/>
          <w:color w:val="000000"/>
          <w:sz w:val="32"/>
          <w:szCs w:val="32"/>
        </w:rPr>
        <w:t>，决算数等于预算数。</w:t>
      </w:r>
    </w:p>
    <w:p>
      <w:pPr>
        <w:spacing w:line="560" w:lineRule="exact"/>
        <w:ind w:firstLine="642" w:firstLineChars="200"/>
        <w:rPr>
          <w:rFonts w:eastAsia="仿宋"/>
          <w:b/>
          <w:color w:val="000000"/>
          <w:sz w:val="32"/>
          <w:szCs w:val="32"/>
        </w:rPr>
      </w:pPr>
      <w:r>
        <w:rPr>
          <w:rStyle w:val="21"/>
          <w:rFonts w:hint="eastAsia" w:eastAsia="仿宋"/>
          <w:bCs/>
          <w:color w:val="000000"/>
          <w:sz w:val="32"/>
          <w:szCs w:val="32"/>
        </w:rPr>
        <w:t>4.</w:t>
      </w:r>
      <w:r>
        <w:rPr>
          <w:rStyle w:val="21"/>
          <w:rFonts w:hAnsi="仿宋" w:eastAsia="仿宋"/>
          <w:bCs/>
          <w:color w:val="000000"/>
          <w:sz w:val="32"/>
          <w:szCs w:val="32"/>
        </w:rPr>
        <w:t>一般公共服务（类）党委办公厅（室）及相关机构事务（款）事业运行（项）</w:t>
      </w:r>
      <w:r>
        <w:rPr>
          <w:rStyle w:val="21"/>
          <w:rFonts w:eastAsia="仿宋"/>
          <w:bCs/>
          <w:color w:val="000000"/>
          <w:sz w:val="32"/>
          <w:szCs w:val="32"/>
        </w:rPr>
        <w:t>:</w:t>
      </w:r>
      <w:r>
        <w:rPr>
          <w:rStyle w:val="21"/>
          <w:rFonts w:eastAsia="仿宋"/>
          <w:b w:val="0"/>
          <w:bCs/>
          <w:color w:val="000000"/>
          <w:sz w:val="32"/>
          <w:szCs w:val="32"/>
        </w:rPr>
        <w:t xml:space="preserve"> </w:t>
      </w:r>
      <w:r>
        <w:rPr>
          <w:rStyle w:val="21"/>
          <w:rFonts w:hAnsi="仿宋" w:eastAsia="仿宋"/>
          <w:b w:val="0"/>
          <w:bCs/>
          <w:color w:val="000000"/>
          <w:sz w:val="32"/>
          <w:szCs w:val="32"/>
        </w:rPr>
        <w:t>支出决算为</w:t>
      </w:r>
      <w:r>
        <w:rPr>
          <w:rStyle w:val="21"/>
          <w:rFonts w:hint="eastAsia" w:eastAsia="仿宋"/>
          <w:b w:val="0"/>
          <w:bCs/>
          <w:color w:val="000000"/>
          <w:sz w:val="32"/>
          <w:szCs w:val="32"/>
        </w:rPr>
        <w:t>8.87</w:t>
      </w:r>
      <w:r>
        <w:rPr>
          <w:rStyle w:val="21"/>
          <w:rFonts w:hAnsi="仿宋" w:eastAsia="仿宋"/>
          <w:b w:val="0"/>
          <w:bCs/>
          <w:color w:val="000000"/>
          <w:sz w:val="32"/>
          <w:szCs w:val="32"/>
        </w:rPr>
        <w:t>万元，完成预算</w:t>
      </w:r>
      <w:r>
        <w:rPr>
          <w:rStyle w:val="21"/>
          <w:rFonts w:eastAsia="仿宋"/>
          <w:b w:val="0"/>
          <w:bCs/>
          <w:color w:val="000000"/>
          <w:sz w:val="32"/>
          <w:szCs w:val="32"/>
        </w:rPr>
        <w:t>100%</w:t>
      </w:r>
      <w:r>
        <w:rPr>
          <w:rStyle w:val="21"/>
          <w:rFonts w:hAnsi="仿宋" w:eastAsia="仿宋"/>
          <w:b w:val="0"/>
          <w:bCs/>
          <w:color w:val="000000"/>
          <w:sz w:val="32"/>
          <w:szCs w:val="32"/>
        </w:rPr>
        <w:t>，决算数等于预算数。</w:t>
      </w:r>
    </w:p>
    <w:p>
      <w:pPr>
        <w:spacing w:line="560" w:lineRule="exact"/>
        <w:ind w:firstLine="642" w:firstLineChars="200"/>
        <w:rPr>
          <w:rStyle w:val="21"/>
          <w:rFonts w:hAnsi="仿宋" w:eastAsia="仿宋"/>
          <w:b w:val="0"/>
          <w:bCs/>
          <w:color w:val="000000"/>
          <w:sz w:val="32"/>
          <w:szCs w:val="32"/>
        </w:rPr>
      </w:pPr>
      <w:r>
        <w:rPr>
          <w:rStyle w:val="21"/>
          <w:rFonts w:hint="eastAsia" w:eastAsia="仿宋"/>
          <w:bCs/>
          <w:color w:val="000000"/>
          <w:sz w:val="32"/>
          <w:szCs w:val="32"/>
        </w:rPr>
        <w:t>5.</w:t>
      </w:r>
      <w:r>
        <w:rPr>
          <w:rStyle w:val="21"/>
          <w:rFonts w:hAnsi="仿宋" w:eastAsia="仿宋"/>
          <w:bCs/>
          <w:color w:val="000000"/>
          <w:sz w:val="32"/>
          <w:szCs w:val="32"/>
        </w:rPr>
        <w:t>公共安全支出（类）公安（款）一般行政事务管理（项）</w:t>
      </w:r>
      <w:r>
        <w:rPr>
          <w:rStyle w:val="21"/>
          <w:rFonts w:eastAsia="仿宋"/>
          <w:bCs/>
          <w:color w:val="000000"/>
          <w:sz w:val="32"/>
          <w:szCs w:val="32"/>
        </w:rPr>
        <w:t>:</w:t>
      </w:r>
      <w:r>
        <w:rPr>
          <w:rStyle w:val="21"/>
          <w:rFonts w:eastAsia="仿宋"/>
          <w:b w:val="0"/>
          <w:bCs/>
          <w:color w:val="000000"/>
          <w:sz w:val="32"/>
          <w:szCs w:val="32"/>
        </w:rPr>
        <w:t xml:space="preserve"> </w:t>
      </w:r>
      <w:r>
        <w:rPr>
          <w:rStyle w:val="21"/>
          <w:rFonts w:hAnsi="仿宋" w:eastAsia="仿宋"/>
          <w:b w:val="0"/>
          <w:bCs/>
          <w:color w:val="000000"/>
          <w:sz w:val="32"/>
          <w:szCs w:val="32"/>
        </w:rPr>
        <w:t>支出决算为</w:t>
      </w:r>
      <w:r>
        <w:rPr>
          <w:rStyle w:val="21"/>
          <w:rFonts w:hint="eastAsia" w:eastAsia="仿宋"/>
          <w:b w:val="0"/>
          <w:bCs/>
          <w:color w:val="000000"/>
          <w:sz w:val="32"/>
          <w:szCs w:val="32"/>
        </w:rPr>
        <w:t>139.22</w:t>
      </w:r>
      <w:r>
        <w:rPr>
          <w:rStyle w:val="21"/>
          <w:rFonts w:hAnsi="仿宋" w:eastAsia="仿宋"/>
          <w:b w:val="0"/>
          <w:bCs/>
          <w:color w:val="000000"/>
          <w:sz w:val="32"/>
          <w:szCs w:val="32"/>
        </w:rPr>
        <w:t>万元，完成预算</w:t>
      </w:r>
      <w:r>
        <w:rPr>
          <w:rStyle w:val="21"/>
          <w:rFonts w:eastAsia="仿宋"/>
          <w:b w:val="0"/>
          <w:bCs/>
          <w:color w:val="000000"/>
          <w:sz w:val="32"/>
          <w:szCs w:val="32"/>
        </w:rPr>
        <w:t>100%</w:t>
      </w:r>
      <w:r>
        <w:rPr>
          <w:rStyle w:val="21"/>
          <w:rFonts w:hAnsi="仿宋" w:eastAsia="仿宋"/>
          <w:b w:val="0"/>
          <w:bCs/>
          <w:color w:val="000000"/>
          <w:sz w:val="32"/>
          <w:szCs w:val="32"/>
        </w:rPr>
        <w:t>，决算数等于预算数。</w:t>
      </w:r>
    </w:p>
    <w:p>
      <w:pPr>
        <w:spacing w:line="560" w:lineRule="exact"/>
        <w:ind w:firstLine="642" w:firstLineChars="200"/>
      </w:pPr>
      <w:r>
        <w:rPr>
          <w:rStyle w:val="21"/>
          <w:rFonts w:hint="eastAsia" w:eastAsia="仿宋"/>
          <w:bCs/>
          <w:color w:val="000000"/>
          <w:sz w:val="32"/>
          <w:szCs w:val="32"/>
        </w:rPr>
        <w:t>6.</w:t>
      </w:r>
      <w:r>
        <w:rPr>
          <w:rStyle w:val="21"/>
          <w:rFonts w:hAnsi="仿宋" w:eastAsia="仿宋"/>
          <w:bCs/>
          <w:color w:val="000000"/>
          <w:sz w:val="32"/>
          <w:szCs w:val="32"/>
        </w:rPr>
        <w:t>公共安全支出（类）</w:t>
      </w:r>
      <w:r>
        <w:rPr>
          <w:rStyle w:val="21"/>
          <w:rFonts w:hint="eastAsia" w:hAnsi="仿宋" w:eastAsia="仿宋"/>
          <w:bCs/>
          <w:color w:val="000000"/>
          <w:sz w:val="32"/>
          <w:szCs w:val="32"/>
        </w:rPr>
        <w:t>其他</w:t>
      </w:r>
      <w:r>
        <w:rPr>
          <w:rStyle w:val="21"/>
          <w:rFonts w:hAnsi="仿宋" w:eastAsia="仿宋"/>
          <w:bCs/>
          <w:color w:val="000000"/>
          <w:sz w:val="32"/>
          <w:szCs w:val="32"/>
        </w:rPr>
        <w:t>公共安全支出（款）</w:t>
      </w:r>
      <w:r>
        <w:rPr>
          <w:rStyle w:val="21"/>
          <w:rFonts w:hint="eastAsia" w:hAnsi="仿宋" w:eastAsia="仿宋"/>
          <w:bCs/>
          <w:color w:val="000000"/>
          <w:sz w:val="32"/>
          <w:szCs w:val="32"/>
        </w:rPr>
        <w:t>其他</w:t>
      </w:r>
      <w:r>
        <w:rPr>
          <w:rStyle w:val="21"/>
          <w:rFonts w:hAnsi="仿宋" w:eastAsia="仿宋"/>
          <w:bCs/>
          <w:color w:val="000000"/>
          <w:sz w:val="32"/>
          <w:szCs w:val="32"/>
        </w:rPr>
        <w:t>公共安全支出（项）</w:t>
      </w:r>
      <w:r>
        <w:rPr>
          <w:rStyle w:val="21"/>
          <w:rFonts w:eastAsia="仿宋"/>
          <w:bCs/>
          <w:color w:val="000000"/>
          <w:sz w:val="32"/>
          <w:szCs w:val="32"/>
        </w:rPr>
        <w:t>:</w:t>
      </w:r>
      <w:r>
        <w:rPr>
          <w:rStyle w:val="21"/>
          <w:rFonts w:eastAsia="仿宋"/>
          <w:b w:val="0"/>
          <w:bCs/>
          <w:color w:val="000000"/>
          <w:sz w:val="32"/>
          <w:szCs w:val="32"/>
        </w:rPr>
        <w:t xml:space="preserve"> </w:t>
      </w:r>
      <w:r>
        <w:rPr>
          <w:rStyle w:val="21"/>
          <w:rFonts w:hAnsi="仿宋" w:eastAsia="仿宋"/>
          <w:b w:val="0"/>
          <w:bCs/>
          <w:color w:val="000000"/>
          <w:sz w:val="32"/>
          <w:szCs w:val="32"/>
        </w:rPr>
        <w:t>支出决算为</w:t>
      </w:r>
      <w:r>
        <w:rPr>
          <w:rStyle w:val="21"/>
          <w:rFonts w:hint="eastAsia" w:eastAsia="仿宋"/>
          <w:b w:val="0"/>
          <w:bCs/>
          <w:color w:val="000000"/>
          <w:sz w:val="32"/>
          <w:szCs w:val="32"/>
        </w:rPr>
        <w:t>1906.28</w:t>
      </w:r>
      <w:r>
        <w:rPr>
          <w:rStyle w:val="21"/>
          <w:rFonts w:hAnsi="仿宋" w:eastAsia="仿宋"/>
          <w:b w:val="0"/>
          <w:bCs/>
          <w:color w:val="000000"/>
          <w:sz w:val="32"/>
          <w:szCs w:val="32"/>
        </w:rPr>
        <w:t>万元，完成预算</w:t>
      </w:r>
      <w:r>
        <w:rPr>
          <w:rStyle w:val="21"/>
          <w:rFonts w:eastAsia="仿宋"/>
          <w:b w:val="0"/>
          <w:bCs/>
          <w:color w:val="000000"/>
          <w:sz w:val="32"/>
          <w:szCs w:val="32"/>
        </w:rPr>
        <w:t>100%</w:t>
      </w:r>
      <w:r>
        <w:rPr>
          <w:rStyle w:val="21"/>
          <w:rFonts w:hAnsi="仿宋" w:eastAsia="仿宋"/>
          <w:b w:val="0"/>
          <w:bCs/>
          <w:color w:val="000000"/>
          <w:sz w:val="32"/>
          <w:szCs w:val="32"/>
        </w:rPr>
        <w:t>，决算数等于预算数。</w:t>
      </w:r>
    </w:p>
    <w:p>
      <w:pPr>
        <w:spacing w:line="560" w:lineRule="exact"/>
        <w:ind w:firstLine="642" w:firstLineChars="200"/>
        <w:rPr>
          <w:rFonts w:eastAsia="仿宋"/>
          <w:b/>
          <w:color w:val="000000"/>
          <w:sz w:val="32"/>
          <w:szCs w:val="32"/>
        </w:rPr>
      </w:pPr>
      <w:r>
        <w:rPr>
          <w:rStyle w:val="21"/>
          <w:rFonts w:hint="eastAsia" w:eastAsia="仿宋"/>
          <w:bCs/>
          <w:color w:val="000000"/>
          <w:sz w:val="32"/>
          <w:szCs w:val="32"/>
        </w:rPr>
        <w:t>7.</w:t>
      </w:r>
      <w:r>
        <w:rPr>
          <w:rStyle w:val="21"/>
          <w:rFonts w:hAnsi="仿宋" w:eastAsia="仿宋"/>
          <w:bCs/>
          <w:color w:val="000000"/>
          <w:sz w:val="32"/>
          <w:szCs w:val="32"/>
        </w:rPr>
        <w:t>社会保障和就业（类）行政事业单位养老支出（款）行政单位离退休（项）</w:t>
      </w:r>
      <w:r>
        <w:rPr>
          <w:rStyle w:val="21"/>
          <w:rFonts w:eastAsia="仿宋"/>
          <w:bCs/>
          <w:color w:val="000000"/>
          <w:sz w:val="32"/>
          <w:szCs w:val="32"/>
        </w:rPr>
        <w:t>:</w:t>
      </w:r>
      <w:r>
        <w:rPr>
          <w:rStyle w:val="21"/>
          <w:rFonts w:eastAsia="仿宋"/>
          <w:b w:val="0"/>
          <w:bCs/>
          <w:color w:val="000000"/>
          <w:sz w:val="32"/>
          <w:szCs w:val="32"/>
        </w:rPr>
        <w:t xml:space="preserve"> </w:t>
      </w:r>
      <w:r>
        <w:rPr>
          <w:rStyle w:val="21"/>
          <w:rFonts w:hAnsi="仿宋" w:eastAsia="仿宋"/>
          <w:b w:val="0"/>
          <w:bCs/>
          <w:color w:val="000000"/>
          <w:sz w:val="32"/>
          <w:szCs w:val="32"/>
        </w:rPr>
        <w:t>支出决算为</w:t>
      </w:r>
      <w:r>
        <w:rPr>
          <w:rStyle w:val="21"/>
          <w:rFonts w:hint="eastAsia" w:eastAsia="仿宋"/>
          <w:b w:val="0"/>
          <w:bCs/>
          <w:color w:val="000000"/>
          <w:sz w:val="32"/>
          <w:szCs w:val="32"/>
        </w:rPr>
        <w:t>39.17</w:t>
      </w:r>
      <w:r>
        <w:rPr>
          <w:rStyle w:val="21"/>
          <w:rFonts w:hAnsi="仿宋" w:eastAsia="仿宋"/>
          <w:b w:val="0"/>
          <w:bCs/>
          <w:color w:val="000000"/>
          <w:sz w:val="32"/>
          <w:szCs w:val="32"/>
        </w:rPr>
        <w:t>万元，完成预算</w:t>
      </w:r>
      <w:r>
        <w:rPr>
          <w:rStyle w:val="21"/>
          <w:rFonts w:eastAsia="仿宋"/>
          <w:b w:val="0"/>
          <w:bCs/>
          <w:color w:val="000000"/>
          <w:sz w:val="32"/>
          <w:szCs w:val="32"/>
        </w:rPr>
        <w:t>100%</w:t>
      </w:r>
      <w:r>
        <w:rPr>
          <w:rStyle w:val="21"/>
          <w:rFonts w:hAnsi="仿宋" w:eastAsia="仿宋"/>
          <w:b w:val="0"/>
          <w:bCs/>
          <w:color w:val="000000"/>
          <w:sz w:val="32"/>
          <w:szCs w:val="32"/>
        </w:rPr>
        <w:t>，决算数等于预算数。</w:t>
      </w:r>
    </w:p>
    <w:p>
      <w:pPr>
        <w:spacing w:line="560" w:lineRule="exact"/>
        <w:ind w:firstLine="642" w:firstLineChars="200"/>
        <w:rPr>
          <w:rFonts w:eastAsia="仿宋"/>
          <w:b/>
          <w:color w:val="000000"/>
          <w:sz w:val="32"/>
          <w:szCs w:val="32"/>
        </w:rPr>
      </w:pPr>
      <w:r>
        <w:rPr>
          <w:rStyle w:val="21"/>
          <w:rFonts w:hint="eastAsia" w:eastAsia="仿宋"/>
          <w:bCs/>
          <w:color w:val="000000"/>
          <w:sz w:val="32"/>
          <w:szCs w:val="32"/>
        </w:rPr>
        <w:t>8.</w:t>
      </w:r>
      <w:r>
        <w:rPr>
          <w:rStyle w:val="21"/>
          <w:rFonts w:hAnsi="仿宋" w:eastAsia="仿宋"/>
          <w:bCs/>
          <w:color w:val="000000"/>
          <w:sz w:val="32"/>
          <w:szCs w:val="32"/>
        </w:rPr>
        <w:t>社会保障和就业（类）行政事业单位养老支出（款）机关事业单位基本养老保险缴费支出（项）</w:t>
      </w:r>
      <w:r>
        <w:rPr>
          <w:rStyle w:val="21"/>
          <w:rFonts w:eastAsia="仿宋"/>
          <w:bCs/>
          <w:color w:val="000000"/>
          <w:sz w:val="32"/>
          <w:szCs w:val="32"/>
        </w:rPr>
        <w:t>:</w:t>
      </w:r>
      <w:r>
        <w:rPr>
          <w:rStyle w:val="21"/>
          <w:rFonts w:eastAsia="仿宋"/>
          <w:b w:val="0"/>
          <w:bCs/>
          <w:color w:val="000000"/>
          <w:sz w:val="32"/>
          <w:szCs w:val="32"/>
        </w:rPr>
        <w:t xml:space="preserve"> </w:t>
      </w:r>
      <w:r>
        <w:rPr>
          <w:rStyle w:val="21"/>
          <w:rFonts w:hAnsi="仿宋" w:eastAsia="仿宋"/>
          <w:b w:val="0"/>
          <w:bCs/>
          <w:color w:val="000000"/>
          <w:sz w:val="32"/>
          <w:szCs w:val="32"/>
        </w:rPr>
        <w:t>支出决算为</w:t>
      </w:r>
      <w:r>
        <w:rPr>
          <w:rStyle w:val="21"/>
          <w:rFonts w:hint="eastAsia" w:eastAsia="仿宋"/>
          <w:b w:val="0"/>
          <w:bCs/>
          <w:color w:val="000000"/>
          <w:sz w:val="32"/>
          <w:szCs w:val="32"/>
        </w:rPr>
        <w:t>44.66</w:t>
      </w:r>
      <w:r>
        <w:rPr>
          <w:rStyle w:val="21"/>
          <w:rFonts w:hAnsi="仿宋" w:eastAsia="仿宋"/>
          <w:b w:val="0"/>
          <w:bCs/>
          <w:color w:val="000000"/>
          <w:sz w:val="32"/>
          <w:szCs w:val="32"/>
        </w:rPr>
        <w:t>万元，完成预算</w:t>
      </w:r>
      <w:r>
        <w:rPr>
          <w:rStyle w:val="21"/>
          <w:rFonts w:eastAsia="仿宋"/>
          <w:b w:val="0"/>
          <w:bCs/>
          <w:color w:val="000000"/>
          <w:sz w:val="32"/>
          <w:szCs w:val="32"/>
        </w:rPr>
        <w:t>100%</w:t>
      </w:r>
      <w:r>
        <w:rPr>
          <w:rStyle w:val="21"/>
          <w:rFonts w:hAnsi="仿宋" w:eastAsia="仿宋"/>
          <w:b w:val="0"/>
          <w:bCs/>
          <w:color w:val="000000"/>
          <w:sz w:val="32"/>
          <w:szCs w:val="32"/>
        </w:rPr>
        <w:t>，决算数等于预算数。</w:t>
      </w:r>
    </w:p>
    <w:p>
      <w:pPr>
        <w:spacing w:line="560" w:lineRule="exact"/>
        <w:ind w:firstLine="642" w:firstLineChars="200"/>
        <w:rPr>
          <w:rFonts w:eastAsia="仿宋"/>
          <w:b/>
          <w:color w:val="000000"/>
          <w:sz w:val="32"/>
          <w:szCs w:val="32"/>
        </w:rPr>
      </w:pPr>
      <w:r>
        <w:rPr>
          <w:rStyle w:val="21"/>
          <w:rFonts w:hint="eastAsia" w:eastAsia="仿宋"/>
          <w:bCs/>
          <w:color w:val="000000"/>
          <w:sz w:val="32"/>
          <w:szCs w:val="32"/>
        </w:rPr>
        <w:t>9.</w:t>
      </w:r>
      <w:r>
        <w:rPr>
          <w:rFonts w:hAnsi="仿宋" w:eastAsia="仿宋"/>
          <w:b/>
          <w:bCs/>
          <w:color w:val="000000"/>
          <w:sz w:val="32"/>
          <w:szCs w:val="32"/>
        </w:rPr>
        <w:t>卫生健康</w:t>
      </w:r>
      <w:r>
        <w:rPr>
          <w:rStyle w:val="21"/>
          <w:rFonts w:hAnsi="仿宋" w:eastAsia="仿宋"/>
          <w:bCs/>
          <w:color w:val="000000"/>
          <w:sz w:val="32"/>
          <w:szCs w:val="32"/>
        </w:rPr>
        <w:t>（类）行政事业单位医疗（款）行政单位医疗（项）</w:t>
      </w:r>
      <w:r>
        <w:rPr>
          <w:rStyle w:val="21"/>
          <w:rFonts w:eastAsia="仿宋"/>
          <w:bCs/>
          <w:color w:val="000000"/>
          <w:sz w:val="32"/>
          <w:szCs w:val="32"/>
        </w:rPr>
        <w:t>:</w:t>
      </w:r>
      <w:r>
        <w:rPr>
          <w:rStyle w:val="21"/>
          <w:rFonts w:hAnsi="仿宋" w:eastAsia="仿宋"/>
          <w:b w:val="0"/>
          <w:bCs/>
          <w:color w:val="000000"/>
          <w:sz w:val="32"/>
          <w:szCs w:val="32"/>
        </w:rPr>
        <w:t>支出决算为</w:t>
      </w:r>
      <w:r>
        <w:rPr>
          <w:rStyle w:val="21"/>
          <w:rFonts w:hint="eastAsia" w:hAnsi="仿宋" w:eastAsia="仿宋"/>
          <w:b w:val="0"/>
          <w:bCs/>
          <w:color w:val="000000"/>
          <w:sz w:val="32"/>
          <w:szCs w:val="32"/>
        </w:rPr>
        <w:t>20.88</w:t>
      </w:r>
      <w:r>
        <w:rPr>
          <w:rStyle w:val="21"/>
          <w:rFonts w:hAnsi="仿宋" w:eastAsia="仿宋"/>
          <w:b w:val="0"/>
          <w:bCs/>
          <w:color w:val="000000"/>
          <w:sz w:val="32"/>
          <w:szCs w:val="32"/>
        </w:rPr>
        <w:t>万元，完成预算</w:t>
      </w:r>
      <w:r>
        <w:rPr>
          <w:rStyle w:val="21"/>
          <w:rFonts w:eastAsia="仿宋"/>
          <w:b w:val="0"/>
          <w:bCs/>
          <w:color w:val="000000"/>
          <w:sz w:val="32"/>
          <w:szCs w:val="32"/>
        </w:rPr>
        <w:t>100%</w:t>
      </w:r>
      <w:r>
        <w:rPr>
          <w:rStyle w:val="21"/>
          <w:rFonts w:hAnsi="仿宋" w:eastAsia="仿宋"/>
          <w:b w:val="0"/>
          <w:bCs/>
          <w:color w:val="000000"/>
          <w:sz w:val="32"/>
          <w:szCs w:val="32"/>
        </w:rPr>
        <w:t>，决算数等于预算数。</w:t>
      </w:r>
    </w:p>
    <w:p>
      <w:pPr>
        <w:spacing w:line="560" w:lineRule="exact"/>
        <w:ind w:firstLine="642" w:firstLineChars="200"/>
        <w:rPr>
          <w:rFonts w:eastAsia="仿宋"/>
          <w:b/>
          <w:color w:val="000000"/>
          <w:sz w:val="32"/>
          <w:szCs w:val="32"/>
        </w:rPr>
      </w:pPr>
      <w:r>
        <w:rPr>
          <w:rStyle w:val="21"/>
          <w:rFonts w:hint="eastAsia" w:eastAsia="仿宋"/>
          <w:bCs/>
          <w:color w:val="000000"/>
          <w:sz w:val="32"/>
          <w:szCs w:val="32"/>
        </w:rPr>
        <w:t>10.</w:t>
      </w:r>
      <w:r>
        <w:rPr>
          <w:rFonts w:hAnsi="仿宋" w:eastAsia="仿宋"/>
          <w:b/>
          <w:bCs/>
          <w:color w:val="000000"/>
          <w:sz w:val="32"/>
          <w:szCs w:val="32"/>
        </w:rPr>
        <w:t>卫生健康</w:t>
      </w:r>
      <w:r>
        <w:rPr>
          <w:rStyle w:val="21"/>
          <w:rFonts w:hAnsi="仿宋" w:eastAsia="仿宋"/>
          <w:bCs/>
          <w:color w:val="000000"/>
          <w:sz w:val="32"/>
          <w:szCs w:val="32"/>
        </w:rPr>
        <w:t>（类）行政事业单位医疗（款）事业单位医疗（项）</w:t>
      </w:r>
      <w:r>
        <w:rPr>
          <w:rStyle w:val="21"/>
          <w:rFonts w:eastAsia="仿宋"/>
          <w:bCs/>
          <w:color w:val="000000"/>
          <w:sz w:val="32"/>
          <w:szCs w:val="32"/>
        </w:rPr>
        <w:t>:</w:t>
      </w:r>
      <w:r>
        <w:rPr>
          <w:rStyle w:val="21"/>
          <w:rFonts w:hAnsi="仿宋" w:eastAsia="仿宋"/>
          <w:b w:val="0"/>
          <w:bCs/>
          <w:color w:val="000000"/>
          <w:sz w:val="32"/>
          <w:szCs w:val="32"/>
        </w:rPr>
        <w:t>支出决算为</w:t>
      </w:r>
      <w:r>
        <w:rPr>
          <w:rStyle w:val="21"/>
          <w:rFonts w:eastAsia="仿宋"/>
          <w:b w:val="0"/>
          <w:bCs/>
          <w:color w:val="000000"/>
          <w:sz w:val="32"/>
          <w:szCs w:val="32"/>
        </w:rPr>
        <w:t>2.</w:t>
      </w:r>
      <w:r>
        <w:rPr>
          <w:rStyle w:val="21"/>
          <w:rFonts w:hint="eastAsia" w:eastAsia="仿宋"/>
          <w:b w:val="0"/>
          <w:bCs/>
          <w:color w:val="000000"/>
          <w:sz w:val="32"/>
          <w:szCs w:val="32"/>
        </w:rPr>
        <w:t>55</w:t>
      </w:r>
      <w:r>
        <w:rPr>
          <w:rStyle w:val="21"/>
          <w:rFonts w:hAnsi="仿宋" w:eastAsia="仿宋"/>
          <w:b w:val="0"/>
          <w:bCs/>
          <w:color w:val="000000"/>
          <w:sz w:val="32"/>
          <w:szCs w:val="32"/>
        </w:rPr>
        <w:t>万元，完成预算</w:t>
      </w:r>
      <w:r>
        <w:rPr>
          <w:rStyle w:val="21"/>
          <w:rFonts w:eastAsia="仿宋"/>
          <w:b w:val="0"/>
          <w:bCs/>
          <w:color w:val="000000"/>
          <w:sz w:val="32"/>
          <w:szCs w:val="32"/>
        </w:rPr>
        <w:t>100%</w:t>
      </w:r>
      <w:r>
        <w:rPr>
          <w:rStyle w:val="21"/>
          <w:rFonts w:hAnsi="仿宋" w:eastAsia="仿宋"/>
          <w:b w:val="0"/>
          <w:bCs/>
          <w:color w:val="000000"/>
          <w:sz w:val="32"/>
          <w:szCs w:val="32"/>
        </w:rPr>
        <w:t>，决算数等于预算数。</w:t>
      </w:r>
    </w:p>
    <w:p>
      <w:pPr>
        <w:spacing w:line="560" w:lineRule="exact"/>
        <w:ind w:firstLine="642" w:firstLineChars="200"/>
        <w:rPr>
          <w:rFonts w:eastAsia="仿宋"/>
          <w:b/>
          <w:color w:val="000000"/>
          <w:sz w:val="32"/>
          <w:szCs w:val="32"/>
        </w:rPr>
      </w:pPr>
      <w:r>
        <w:rPr>
          <w:rStyle w:val="21"/>
          <w:rFonts w:eastAsia="仿宋"/>
          <w:bCs/>
          <w:color w:val="000000"/>
          <w:sz w:val="32"/>
          <w:szCs w:val="32"/>
        </w:rPr>
        <w:t>1</w:t>
      </w:r>
      <w:r>
        <w:rPr>
          <w:rStyle w:val="21"/>
          <w:rFonts w:hint="eastAsia" w:eastAsia="仿宋"/>
          <w:bCs/>
          <w:color w:val="000000"/>
          <w:sz w:val="32"/>
          <w:szCs w:val="32"/>
        </w:rPr>
        <w:t>1.</w:t>
      </w:r>
      <w:r>
        <w:rPr>
          <w:rFonts w:hAnsi="仿宋" w:eastAsia="仿宋"/>
          <w:b/>
          <w:bCs/>
          <w:color w:val="000000"/>
          <w:sz w:val="32"/>
          <w:szCs w:val="32"/>
        </w:rPr>
        <w:t>卫生健康</w:t>
      </w:r>
      <w:r>
        <w:rPr>
          <w:rStyle w:val="21"/>
          <w:rFonts w:hAnsi="仿宋" w:eastAsia="仿宋"/>
          <w:bCs/>
          <w:color w:val="000000"/>
          <w:sz w:val="32"/>
          <w:szCs w:val="32"/>
        </w:rPr>
        <w:t>（类）行政事业单位医疗（款）其他行政事业单位医疗支出（项）</w:t>
      </w:r>
      <w:r>
        <w:rPr>
          <w:rStyle w:val="21"/>
          <w:rFonts w:eastAsia="仿宋"/>
          <w:bCs/>
          <w:color w:val="000000"/>
          <w:sz w:val="32"/>
          <w:szCs w:val="32"/>
        </w:rPr>
        <w:t>:</w:t>
      </w:r>
      <w:r>
        <w:rPr>
          <w:rStyle w:val="21"/>
          <w:rFonts w:hAnsi="仿宋" w:eastAsia="仿宋"/>
          <w:b w:val="0"/>
          <w:bCs/>
          <w:color w:val="000000"/>
          <w:sz w:val="32"/>
          <w:szCs w:val="32"/>
        </w:rPr>
        <w:t>支出决算为</w:t>
      </w:r>
      <w:r>
        <w:rPr>
          <w:rStyle w:val="21"/>
          <w:rFonts w:eastAsia="仿宋"/>
          <w:b w:val="0"/>
          <w:bCs/>
          <w:color w:val="000000"/>
          <w:sz w:val="32"/>
          <w:szCs w:val="32"/>
        </w:rPr>
        <w:t>4.</w:t>
      </w:r>
      <w:r>
        <w:rPr>
          <w:rStyle w:val="21"/>
          <w:rFonts w:hint="eastAsia" w:eastAsia="仿宋"/>
          <w:b w:val="0"/>
          <w:bCs/>
          <w:color w:val="000000"/>
          <w:sz w:val="32"/>
          <w:szCs w:val="32"/>
        </w:rPr>
        <w:t>45</w:t>
      </w:r>
      <w:r>
        <w:rPr>
          <w:rStyle w:val="21"/>
          <w:rFonts w:hAnsi="仿宋" w:eastAsia="仿宋"/>
          <w:b w:val="0"/>
          <w:bCs/>
          <w:color w:val="000000"/>
          <w:sz w:val="32"/>
          <w:szCs w:val="32"/>
        </w:rPr>
        <w:t>万元，完成预算</w:t>
      </w:r>
      <w:r>
        <w:rPr>
          <w:rStyle w:val="21"/>
          <w:rFonts w:eastAsia="仿宋"/>
          <w:b w:val="0"/>
          <w:bCs/>
          <w:color w:val="000000"/>
          <w:sz w:val="32"/>
          <w:szCs w:val="32"/>
        </w:rPr>
        <w:t>100%</w:t>
      </w:r>
      <w:r>
        <w:rPr>
          <w:rStyle w:val="21"/>
          <w:rFonts w:hAnsi="仿宋" w:eastAsia="仿宋"/>
          <w:b w:val="0"/>
          <w:bCs/>
          <w:color w:val="000000"/>
          <w:sz w:val="32"/>
          <w:szCs w:val="32"/>
        </w:rPr>
        <w:t>，决算数等于预算数。</w:t>
      </w:r>
    </w:p>
    <w:p>
      <w:pPr>
        <w:spacing w:line="560" w:lineRule="exact"/>
        <w:ind w:firstLine="642" w:firstLineChars="200"/>
        <w:rPr>
          <w:rFonts w:ascii="仿宋" w:hAnsi="仿宋" w:eastAsia="仿宋"/>
          <w:b/>
          <w:sz w:val="32"/>
          <w:szCs w:val="32"/>
        </w:rPr>
      </w:pPr>
      <w:r>
        <w:rPr>
          <w:rStyle w:val="21"/>
          <w:rFonts w:eastAsia="仿宋"/>
          <w:bCs/>
          <w:color w:val="000000"/>
          <w:sz w:val="32"/>
          <w:szCs w:val="32"/>
        </w:rPr>
        <w:t>1</w:t>
      </w:r>
      <w:r>
        <w:rPr>
          <w:rStyle w:val="21"/>
          <w:rFonts w:hint="eastAsia" w:eastAsia="仿宋"/>
          <w:bCs/>
          <w:color w:val="000000"/>
          <w:sz w:val="32"/>
          <w:szCs w:val="32"/>
        </w:rPr>
        <w:t>2.</w:t>
      </w:r>
      <w:r>
        <w:rPr>
          <w:rFonts w:hAnsi="仿宋" w:eastAsia="仿宋"/>
          <w:b/>
          <w:bCs/>
          <w:color w:val="000000"/>
          <w:sz w:val="32"/>
          <w:szCs w:val="32"/>
        </w:rPr>
        <w:t>住房保障支出</w:t>
      </w:r>
      <w:r>
        <w:rPr>
          <w:rStyle w:val="21"/>
          <w:rFonts w:hAnsi="仿宋" w:eastAsia="仿宋"/>
          <w:bCs/>
          <w:color w:val="000000"/>
          <w:sz w:val="32"/>
          <w:szCs w:val="32"/>
        </w:rPr>
        <w:t>（类）住房改革支出（款）住房公积金（项）</w:t>
      </w:r>
      <w:r>
        <w:rPr>
          <w:rStyle w:val="21"/>
          <w:rFonts w:eastAsia="仿宋"/>
          <w:bCs/>
          <w:color w:val="000000"/>
          <w:sz w:val="32"/>
          <w:szCs w:val="32"/>
        </w:rPr>
        <w:t>:</w:t>
      </w:r>
      <w:r>
        <w:rPr>
          <w:rStyle w:val="21"/>
          <w:rFonts w:hAnsi="仿宋" w:eastAsia="仿宋"/>
          <w:b w:val="0"/>
          <w:bCs/>
          <w:color w:val="000000"/>
          <w:sz w:val="32"/>
          <w:szCs w:val="32"/>
        </w:rPr>
        <w:t>支出决算为</w:t>
      </w:r>
      <w:r>
        <w:rPr>
          <w:rStyle w:val="21"/>
          <w:rFonts w:hint="eastAsia" w:eastAsia="仿宋"/>
          <w:b w:val="0"/>
          <w:bCs/>
          <w:color w:val="000000"/>
          <w:sz w:val="32"/>
          <w:szCs w:val="32"/>
        </w:rPr>
        <w:t>63</w:t>
      </w:r>
      <w:r>
        <w:rPr>
          <w:rStyle w:val="21"/>
          <w:rFonts w:eastAsia="仿宋"/>
          <w:b w:val="0"/>
          <w:bCs/>
          <w:color w:val="000000"/>
          <w:sz w:val="32"/>
          <w:szCs w:val="32"/>
        </w:rPr>
        <w:t>.</w:t>
      </w:r>
      <w:r>
        <w:rPr>
          <w:rStyle w:val="21"/>
          <w:rFonts w:hint="eastAsia" w:eastAsia="仿宋"/>
          <w:b w:val="0"/>
          <w:bCs/>
          <w:color w:val="000000"/>
          <w:sz w:val="32"/>
          <w:szCs w:val="32"/>
        </w:rPr>
        <w:t>76</w:t>
      </w:r>
      <w:r>
        <w:rPr>
          <w:rStyle w:val="21"/>
          <w:rFonts w:hAnsi="仿宋" w:eastAsia="仿宋"/>
          <w:b w:val="0"/>
          <w:bCs/>
          <w:color w:val="000000"/>
          <w:sz w:val="32"/>
          <w:szCs w:val="32"/>
        </w:rPr>
        <w:t>万元，完成预算</w:t>
      </w:r>
      <w:r>
        <w:rPr>
          <w:rStyle w:val="21"/>
          <w:rFonts w:eastAsia="仿宋"/>
          <w:b w:val="0"/>
          <w:bCs/>
          <w:color w:val="000000"/>
          <w:sz w:val="32"/>
          <w:szCs w:val="32"/>
        </w:rPr>
        <w:t>100%</w:t>
      </w:r>
      <w:r>
        <w:rPr>
          <w:rStyle w:val="21"/>
          <w:rFonts w:hAnsi="仿宋" w:eastAsia="仿宋"/>
          <w:b w:val="0"/>
          <w:bCs/>
          <w:color w:val="000000"/>
          <w:sz w:val="32"/>
          <w:szCs w:val="32"/>
        </w:rPr>
        <w:t>，决算数等于预算数。</w:t>
      </w:r>
    </w:p>
    <w:p>
      <w:pPr>
        <w:tabs>
          <w:tab w:val="right" w:pos="8306"/>
        </w:tabs>
        <w:spacing w:line="560" w:lineRule="exact"/>
        <w:ind w:firstLine="640"/>
        <w:rPr>
          <w:rStyle w:val="32"/>
        </w:rPr>
      </w:pPr>
      <w:bookmarkStart w:id="40" w:name="_Toc15377214"/>
      <w:bookmarkStart w:id="41"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2"/>
          <w:rFonts w:hint="eastAsia" w:ascii="黑体" w:hAnsi="黑体" w:eastAsia="黑体"/>
          <w:b w:val="0"/>
        </w:rPr>
        <w:t>般公共预算财政拨款基本支出决算情况说明</w:t>
      </w:r>
      <w:bookmarkEnd w:id="40"/>
      <w:bookmarkEnd w:id="41"/>
      <w:r>
        <w:rPr>
          <w:rStyle w:val="32"/>
          <w:rFonts w:ascii="黑体" w:hAnsi="黑体" w:eastAsia="黑体"/>
          <w:b w:val="0"/>
        </w:rPr>
        <w:tab/>
      </w:r>
    </w:p>
    <w:p>
      <w:pPr>
        <w:spacing w:line="560" w:lineRule="exact"/>
        <w:ind w:firstLine="645"/>
        <w:rPr>
          <w:rFonts w:ascii="仿宋" w:hAnsi="仿宋" w:eastAsia="仿宋"/>
          <w:sz w:val="32"/>
          <w:szCs w:val="32"/>
        </w:rPr>
      </w:pPr>
      <w:r>
        <w:rPr>
          <w:rFonts w:hint="eastAsia" w:ascii="仿宋" w:hAnsi="仿宋" w:eastAsia="仿宋"/>
          <w:sz w:val="32"/>
          <w:szCs w:val="32"/>
        </w:rPr>
        <w:t>2022年一般公共预算财政拨款基本支出825.11万元，其中：</w:t>
      </w:r>
    </w:p>
    <w:p>
      <w:pPr>
        <w:spacing w:line="560" w:lineRule="exact"/>
        <w:ind w:firstLine="645"/>
        <w:rPr>
          <w:rFonts w:ascii="仿宋" w:hAnsi="仿宋" w:eastAsia="仿宋"/>
          <w:b/>
          <w:sz w:val="32"/>
          <w:szCs w:val="32"/>
        </w:rPr>
      </w:pPr>
      <w:r>
        <w:rPr>
          <w:rFonts w:hint="eastAsia" w:ascii="仿宋" w:hAnsi="仿宋" w:eastAsia="仿宋"/>
          <w:sz w:val="32"/>
          <w:szCs w:val="32"/>
        </w:rPr>
        <w:t>人员经费744.88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xml:space="preserve">　　公用经费80.22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    </w:t>
      </w:r>
    </w:p>
    <w:p>
      <w:pPr>
        <w:spacing w:line="560" w:lineRule="exact"/>
        <w:ind w:firstLine="640"/>
        <w:rPr>
          <w:rStyle w:val="32"/>
          <w:rFonts w:ascii="黑体" w:hAnsi="黑体" w:eastAsia="黑体"/>
          <w:b w:val="0"/>
        </w:rPr>
      </w:pPr>
      <w:bookmarkStart w:id="42" w:name="_Toc15396609"/>
      <w:bookmarkStart w:id="43" w:name="_Toc15377215"/>
      <w:r>
        <w:rPr>
          <w:rFonts w:hint="eastAsia" w:ascii="黑体" w:eastAsia="黑体"/>
          <w:sz w:val="32"/>
          <w:szCs w:val="32"/>
        </w:rPr>
        <w:t>七、</w:t>
      </w:r>
      <w:r>
        <w:rPr>
          <w:rStyle w:val="32"/>
          <w:rFonts w:hint="eastAsia" w:ascii="黑体" w:hAnsi="黑体" w:eastAsia="黑体"/>
        </w:rPr>
        <w:t>“</w:t>
      </w:r>
      <w:r>
        <w:rPr>
          <w:rStyle w:val="32"/>
          <w:rFonts w:hint="eastAsia" w:ascii="黑体" w:hAnsi="黑体" w:eastAsia="黑体"/>
          <w:b w:val="0"/>
        </w:rPr>
        <w:t>三公”经费财政拨款支出决算情况说明</w:t>
      </w:r>
      <w:bookmarkEnd w:id="42"/>
      <w:bookmarkEnd w:id="43"/>
    </w:p>
    <w:p>
      <w:pPr>
        <w:spacing w:line="560" w:lineRule="exact"/>
        <w:ind w:firstLine="640"/>
        <w:rPr>
          <w:rFonts w:ascii="楷体_GB2312" w:hAnsi="楷体_GB2312" w:eastAsia="楷体_GB2312" w:cs="楷体_GB2312"/>
          <w:bCs/>
          <w:sz w:val="32"/>
          <w:szCs w:val="32"/>
        </w:rPr>
      </w:pPr>
      <w:bookmarkStart w:id="44" w:name="_Toc15377216"/>
      <w:r>
        <w:rPr>
          <w:rFonts w:hint="eastAsia" w:ascii="楷体_GB2312" w:hAnsi="楷体_GB2312" w:eastAsia="楷体_GB2312" w:cs="楷体_GB2312"/>
          <w:bCs/>
          <w:sz w:val="32"/>
          <w:szCs w:val="32"/>
        </w:rPr>
        <w:t>（一）“三公”经费财政拨款支出决算总体情况说明</w:t>
      </w:r>
      <w:bookmarkEnd w:id="44"/>
    </w:p>
    <w:p>
      <w:pPr>
        <w:spacing w:line="560" w:lineRule="exact"/>
        <w:ind w:firstLine="640"/>
        <w:rPr>
          <w:rFonts w:ascii="仿宋" w:hAnsi="仿宋" w:eastAsia="仿宋"/>
          <w:sz w:val="32"/>
          <w:szCs w:val="32"/>
        </w:rPr>
      </w:pPr>
      <w:r>
        <w:rPr>
          <w:rFonts w:hint="eastAsia" w:ascii="仿宋" w:hAnsi="仿宋" w:eastAsia="仿宋"/>
          <w:sz w:val="32"/>
          <w:szCs w:val="32"/>
        </w:rPr>
        <w:t>2022年“三公”经费财政拨款支出决算为8.06万元，完成预算100</w:t>
      </w:r>
      <w:r>
        <w:rPr>
          <w:rFonts w:ascii="仿宋" w:hAnsi="仿宋" w:eastAsia="仿宋"/>
          <w:sz w:val="32"/>
          <w:szCs w:val="32"/>
        </w:rPr>
        <w:t>%</w:t>
      </w:r>
      <w:r>
        <w:rPr>
          <w:rFonts w:hint="eastAsia" w:ascii="仿宋" w:hAnsi="仿宋" w:eastAsia="仿宋"/>
          <w:sz w:val="32"/>
          <w:szCs w:val="32"/>
        </w:rPr>
        <w:t>，</w:t>
      </w:r>
      <w:r>
        <w:rPr>
          <w:rFonts w:hAnsi="仿宋" w:eastAsia="仿宋"/>
          <w:sz w:val="32"/>
          <w:szCs w:val="32"/>
        </w:rPr>
        <w:t>决算数与预算数持平。</w:t>
      </w:r>
    </w:p>
    <w:p>
      <w:pPr>
        <w:spacing w:line="560" w:lineRule="exact"/>
        <w:ind w:firstLine="640"/>
        <w:rPr>
          <w:rFonts w:ascii="楷体_GB2312" w:hAnsi="楷体_GB2312" w:eastAsia="楷体_GB2312" w:cs="楷体_GB2312"/>
          <w:bCs/>
          <w:sz w:val="32"/>
          <w:szCs w:val="32"/>
        </w:rPr>
      </w:pPr>
      <w:bookmarkStart w:id="45" w:name="_Toc15377217"/>
      <w:r>
        <w:rPr>
          <w:rFonts w:hint="eastAsia" w:ascii="楷体_GB2312" w:hAnsi="楷体_GB2312" w:eastAsia="楷体_GB2312" w:cs="楷体_GB2312"/>
          <w:bCs/>
          <w:sz w:val="32"/>
          <w:szCs w:val="32"/>
        </w:rPr>
        <w:t>（二）“三公”经费财政拨款支出决算具体情况说明</w:t>
      </w:r>
      <w:bookmarkEnd w:id="45"/>
    </w:p>
    <w:p>
      <w:pPr>
        <w:spacing w:line="560" w:lineRule="exact"/>
        <w:ind w:firstLine="640"/>
        <w:rPr>
          <w:rFonts w:ascii="仿宋" w:hAnsi="仿宋" w:eastAsia="仿宋"/>
          <w:sz w:val="32"/>
          <w:szCs w:val="32"/>
        </w:rPr>
      </w:pPr>
      <w:r>
        <w:rPr>
          <w:rFonts w:hint="eastAsia" w:ascii="仿宋" w:hAnsi="仿宋" w:eastAsia="仿宋"/>
          <w:sz w:val="32"/>
          <w:szCs w:val="32"/>
        </w:rPr>
        <w:t>2022年“三公”经费财政拨款支出决算中，因公出国（境）费支出决算0万元，占0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；公务用车购置及运行维护费支出决算7万元，占72.84</w:t>
      </w:r>
      <w:r>
        <w:rPr>
          <w:rFonts w:ascii="仿宋" w:hAnsi="仿宋" w:eastAsia="仿宋"/>
          <w:sz w:val="32"/>
          <w:szCs w:val="32"/>
        </w:rPr>
        <w:t>%</w:t>
      </w:r>
      <w:r>
        <w:rPr>
          <w:rFonts w:hint="eastAsia" w:ascii="仿宋" w:hAnsi="仿宋" w:eastAsia="仿宋"/>
          <w:sz w:val="32"/>
          <w:szCs w:val="32"/>
        </w:rPr>
        <w:t>；公务接待费支出决算2.61万元，占27.16</w:t>
      </w:r>
      <w:r>
        <w:rPr>
          <w:rFonts w:ascii="仿宋" w:hAnsi="仿宋" w:eastAsia="仿宋"/>
          <w:sz w:val="32"/>
          <w:szCs w:val="32"/>
        </w:rPr>
        <w:t>%</w:t>
      </w:r>
      <w:r>
        <w:rPr>
          <w:rFonts w:hint="eastAsia" w:ascii="仿宋" w:hAnsi="仿宋" w:eastAsia="仿宋"/>
          <w:sz w:val="32"/>
          <w:szCs w:val="32"/>
        </w:rPr>
        <w:t>。具体情况如下：</w:t>
      </w:r>
    </w:p>
    <w:p>
      <w:pPr>
        <w:spacing w:line="56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21"/>
          <w:rFonts w:hint="eastAsia" w:ascii="仿宋" w:hAnsi="仿宋" w:eastAsia="仿宋"/>
          <w:b w:val="0"/>
          <w:bCs/>
          <w:sz w:val="32"/>
          <w:szCs w:val="32"/>
        </w:rPr>
        <w:t>完成预算100</w:t>
      </w:r>
      <w:r>
        <w:rPr>
          <w:rStyle w:val="21"/>
          <w:rFonts w:ascii="仿宋" w:hAnsi="仿宋" w:eastAsia="仿宋"/>
          <w:b w:val="0"/>
          <w:bCs/>
          <w:sz w:val="32"/>
          <w:szCs w:val="32"/>
        </w:rPr>
        <w:t>%</w:t>
      </w:r>
      <w:r>
        <w:rPr>
          <w:rStyle w:val="21"/>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全年安排因公出国（境）团组0次，出国（境）0人。因公出国（境）支出决算比2021年增加</w:t>
      </w:r>
      <w:r>
        <w:rPr>
          <w:rFonts w:ascii="仿宋_GB2312" w:eastAsia="仿宋_GB2312"/>
          <w:sz w:val="32"/>
          <w:szCs w:val="32"/>
        </w:rPr>
        <w:t>/</w:t>
      </w:r>
      <w:r>
        <w:rPr>
          <w:rFonts w:hint="eastAsia" w:ascii="仿宋_GB2312" w:eastAsia="仿宋_GB2312"/>
          <w:sz w:val="32"/>
          <w:szCs w:val="32"/>
        </w:rPr>
        <w:t>减少0万元，增长</w:t>
      </w:r>
      <w:r>
        <w:rPr>
          <w:rFonts w:ascii="仿宋_GB2312" w:eastAsia="仿宋_GB2312"/>
          <w:sz w:val="32"/>
          <w:szCs w:val="32"/>
        </w:rPr>
        <w:t>/</w:t>
      </w:r>
      <w:r>
        <w:rPr>
          <w:rFonts w:hint="eastAsia" w:ascii="仿宋_GB2312" w:eastAsia="仿宋_GB2312"/>
          <w:sz w:val="32"/>
          <w:szCs w:val="32"/>
        </w:rPr>
        <w:t>下降0</w:t>
      </w:r>
      <w:r>
        <w:rPr>
          <w:rFonts w:ascii="仿宋_GB2312" w:eastAsia="仿宋_GB2312"/>
          <w:sz w:val="32"/>
          <w:szCs w:val="32"/>
        </w:rPr>
        <w:t>%</w:t>
      </w:r>
      <w:r>
        <w:rPr>
          <w:rFonts w:hint="eastAsia" w:ascii="仿宋_GB2312" w:eastAsia="仿宋_GB2312"/>
          <w:sz w:val="32"/>
          <w:szCs w:val="32"/>
        </w:rPr>
        <w:t>。</w:t>
      </w:r>
      <w:r>
        <w:rPr>
          <w:rFonts w:eastAsia="仿宋_GB2312"/>
          <w:color w:val="000000"/>
          <w:sz w:val="32"/>
          <w:szCs w:val="32"/>
        </w:rPr>
        <w:t>主要原因是未安排因公出国（境）。</w:t>
      </w:r>
    </w:p>
    <w:p>
      <w:pPr>
        <w:spacing w:line="560" w:lineRule="exact"/>
        <w:ind w:firstLine="640"/>
        <w:rPr>
          <w:rFonts w:ascii="仿宋_GB2312" w:eastAsia="仿宋_GB2312"/>
          <w:b/>
          <w:sz w:val="32"/>
          <w:szCs w:val="32"/>
        </w:rPr>
      </w:pPr>
      <w:r>
        <w:rPr>
          <w:rFonts w:hint="eastAsia" w:ascii="仿宋_GB2312" w:eastAsia="仿宋_GB2312"/>
          <w:b/>
          <w:sz w:val="32"/>
          <w:szCs w:val="32"/>
        </w:rPr>
        <w:t>用车购置及运行维护费支出</w:t>
      </w:r>
      <w:r>
        <w:rPr>
          <w:rFonts w:hint="eastAsia" w:ascii="仿宋_GB2312" w:eastAsia="仿宋_GB2312"/>
          <w:sz w:val="32"/>
          <w:szCs w:val="32"/>
        </w:rPr>
        <w:t>7万元,</w:t>
      </w:r>
      <w:r>
        <w:rPr>
          <w:rStyle w:val="21"/>
          <w:rFonts w:hint="eastAsia" w:ascii="仿宋" w:hAnsi="仿宋" w:eastAsia="仿宋"/>
          <w:b w:val="0"/>
          <w:bCs/>
          <w:sz w:val="32"/>
          <w:szCs w:val="32"/>
        </w:rPr>
        <w:t>完成预算100</w:t>
      </w:r>
      <w:r>
        <w:rPr>
          <w:rStyle w:val="21"/>
          <w:rFonts w:ascii="仿宋" w:hAnsi="仿宋" w:eastAsia="仿宋"/>
          <w:b w:val="0"/>
          <w:bCs/>
          <w:sz w:val="32"/>
          <w:szCs w:val="32"/>
        </w:rPr>
        <w:t>%</w:t>
      </w:r>
      <w:r>
        <w:rPr>
          <w:rStyle w:val="21"/>
          <w:rFonts w:hint="eastAsia" w:ascii="仿宋" w:hAnsi="仿宋" w:eastAsia="仿宋"/>
          <w:b w:val="0"/>
          <w:bCs/>
          <w:sz w:val="32"/>
          <w:szCs w:val="32"/>
        </w:rPr>
        <w:t>。</w:t>
      </w:r>
      <w:r>
        <w:rPr>
          <w:rFonts w:hint="eastAsia" w:ascii="仿宋_GB2312" w:eastAsia="仿宋_GB2312"/>
          <w:sz w:val="32"/>
          <w:szCs w:val="32"/>
        </w:rPr>
        <w:t>公务用车购置及运行维护费支出决算比2021年增加0.13万元，增长1.89</w:t>
      </w:r>
      <w:r>
        <w:rPr>
          <w:rFonts w:ascii="仿宋_GB2312" w:eastAsia="仿宋_GB2312"/>
          <w:sz w:val="32"/>
          <w:szCs w:val="32"/>
        </w:rPr>
        <w:t>%</w:t>
      </w:r>
      <w:r>
        <w:rPr>
          <w:rFonts w:hint="eastAsia" w:ascii="仿宋_GB2312" w:eastAsia="仿宋_GB2312"/>
          <w:sz w:val="32"/>
          <w:szCs w:val="32"/>
        </w:rPr>
        <w:t>。主要原因是</w:t>
      </w:r>
      <w:r>
        <w:rPr>
          <w:rFonts w:hint="eastAsia" w:eastAsia="仿宋_GB2312"/>
          <w:sz w:val="32"/>
          <w:szCs w:val="32"/>
        </w:rPr>
        <w:t>公务用车维修费增加</w:t>
      </w:r>
      <w:r>
        <w:rPr>
          <w:rFonts w:eastAsia="仿宋_GB2312"/>
          <w:sz w:val="32"/>
          <w:szCs w:val="32"/>
        </w:rPr>
        <w:t>。</w:t>
      </w:r>
    </w:p>
    <w:p>
      <w:pPr>
        <w:spacing w:line="56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0万元。全年按规定更新购置公务用车0辆，其中：轿车0辆、金额0万元，越野车0辆、金额0万元，载客汽车0辆、金额0万元。截至2022年</w:t>
      </w:r>
      <w:r>
        <w:rPr>
          <w:rFonts w:ascii="仿宋_GB2312" w:eastAsia="仿宋_GB2312"/>
          <w:sz w:val="32"/>
          <w:szCs w:val="32"/>
        </w:rPr>
        <w:t>12</w:t>
      </w:r>
      <w:r>
        <w:rPr>
          <w:rFonts w:hint="eastAsia" w:ascii="仿宋_GB2312" w:eastAsia="仿宋_GB2312"/>
          <w:sz w:val="32"/>
          <w:szCs w:val="32"/>
        </w:rPr>
        <w:t>月底，单位共有公务用车1辆，其中：轿车1辆、越野车0辆、载客汽车0辆。</w:t>
      </w:r>
    </w:p>
    <w:p>
      <w:pPr>
        <w:spacing w:line="560" w:lineRule="exact"/>
        <w:ind w:firstLine="642" w:firstLineChars="200"/>
        <w:rPr>
          <w:rFonts w:eastAsia="仿宋_GB2312"/>
          <w:color w:val="000000"/>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7万元。</w:t>
      </w:r>
      <w:r>
        <w:rPr>
          <w:rFonts w:eastAsia="仿宋_GB2312"/>
          <w:color w:val="000000"/>
          <w:sz w:val="32"/>
          <w:szCs w:val="32"/>
        </w:rPr>
        <w:t>主要用于</w:t>
      </w:r>
      <w:r>
        <w:rPr>
          <w:rFonts w:eastAsia="仿宋_GB2312"/>
          <w:sz w:val="32"/>
          <w:szCs w:val="32"/>
        </w:rPr>
        <w:t>公务用车保障、维稳应急、调研督导、机要交</w:t>
      </w:r>
      <w:r>
        <w:rPr>
          <w:rFonts w:hint="eastAsia" w:eastAsia="仿宋_GB2312"/>
          <w:sz w:val="32"/>
          <w:szCs w:val="32"/>
        </w:rPr>
        <w:t>通</w:t>
      </w:r>
      <w:r>
        <w:rPr>
          <w:rFonts w:eastAsia="仿宋_GB2312"/>
          <w:color w:val="000000"/>
          <w:sz w:val="32"/>
          <w:szCs w:val="32"/>
        </w:rPr>
        <w:t>等所需的公务用车燃料费、维修费、过路过桥费、保险费等支出。</w:t>
      </w:r>
    </w:p>
    <w:p>
      <w:pPr>
        <w:spacing w:line="56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eastAsia="仿宋"/>
          <w:sz w:val="32"/>
          <w:szCs w:val="32"/>
        </w:rPr>
        <w:t>2.61</w:t>
      </w:r>
      <w:r>
        <w:rPr>
          <w:rFonts w:hint="eastAsia" w:ascii="仿宋_GB2312" w:eastAsia="仿宋_GB2312"/>
          <w:sz w:val="32"/>
          <w:szCs w:val="32"/>
        </w:rPr>
        <w:t>万元，</w:t>
      </w:r>
      <w:r>
        <w:rPr>
          <w:rStyle w:val="21"/>
          <w:rFonts w:hint="eastAsia" w:ascii="仿宋" w:hAnsi="仿宋" w:eastAsia="仿宋"/>
          <w:b w:val="0"/>
          <w:bCs/>
          <w:sz w:val="32"/>
          <w:szCs w:val="32"/>
        </w:rPr>
        <w:t>完成预算100</w:t>
      </w:r>
      <w:r>
        <w:rPr>
          <w:rStyle w:val="21"/>
          <w:rFonts w:ascii="仿宋" w:hAnsi="仿宋" w:eastAsia="仿宋"/>
          <w:b w:val="0"/>
          <w:bCs/>
          <w:sz w:val="32"/>
          <w:szCs w:val="32"/>
        </w:rPr>
        <w:t>%</w:t>
      </w:r>
      <w:r>
        <w:rPr>
          <w:rStyle w:val="21"/>
          <w:rFonts w:hint="eastAsia" w:ascii="仿宋" w:hAnsi="仿宋" w:eastAsia="仿宋"/>
          <w:b w:val="0"/>
          <w:bCs/>
          <w:sz w:val="32"/>
          <w:szCs w:val="32"/>
        </w:rPr>
        <w:t>。</w:t>
      </w:r>
      <w:r>
        <w:rPr>
          <w:rFonts w:hint="eastAsia" w:ascii="仿宋_GB2312" w:eastAsia="仿宋_GB2312"/>
          <w:sz w:val="32"/>
          <w:szCs w:val="32"/>
        </w:rPr>
        <w:t>公务接待费支出决算比2021年增加1.42万元，下降119.33</w:t>
      </w:r>
      <w:r>
        <w:rPr>
          <w:rFonts w:ascii="仿宋_GB2312" w:eastAsia="仿宋_GB2312"/>
          <w:sz w:val="32"/>
          <w:szCs w:val="32"/>
        </w:rPr>
        <w:t>%</w:t>
      </w:r>
      <w:r>
        <w:rPr>
          <w:rFonts w:hint="eastAsia" w:ascii="仿宋_GB2312" w:eastAsia="仿宋_GB2312"/>
          <w:sz w:val="32"/>
          <w:szCs w:val="32"/>
        </w:rPr>
        <w:t>。</w:t>
      </w:r>
      <w:r>
        <w:rPr>
          <w:rFonts w:eastAsia="仿宋_GB2312"/>
          <w:sz w:val="32"/>
          <w:szCs w:val="32"/>
        </w:rPr>
        <w:t>主要原因是</w:t>
      </w:r>
      <w:r>
        <w:rPr>
          <w:rFonts w:hint="eastAsia" w:eastAsia="仿宋_GB2312"/>
          <w:sz w:val="32"/>
          <w:szCs w:val="32"/>
        </w:rPr>
        <w:t>2022</w:t>
      </w:r>
      <w:r>
        <w:rPr>
          <w:rFonts w:eastAsia="仿宋_GB2312"/>
          <w:sz w:val="32"/>
          <w:szCs w:val="32"/>
        </w:rPr>
        <w:t>年相关接待</w:t>
      </w:r>
      <w:r>
        <w:rPr>
          <w:rFonts w:hint="eastAsia" w:eastAsia="仿宋_GB2312"/>
          <w:sz w:val="32"/>
          <w:szCs w:val="32"/>
        </w:rPr>
        <w:t>增加</w:t>
      </w:r>
      <w:r>
        <w:rPr>
          <w:rFonts w:eastAsia="仿宋_GB2312"/>
          <w:sz w:val="32"/>
          <w:szCs w:val="32"/>
        </w:rPr>
        <w:t>。</w:t>
      </w:r>
      <w:r>
        <w:rPr>
          <w:rFonts w:hint="eastAsia" w:ascii="仿宋_GB2312" w:eastAsia="仿宋_GB2312"/>
          <w:sz w:val="32"/>
          <w:szCs w:val="32"/>
        </w:rPr>
        <w:t>其中：</w:t>
      </w:r>
    </w:p>
    <w:p>
      <w:pPr>
        <w:spacing w:line="560" w:lineRule="exact"/>
        <w:ind w:firstLine="642" w:firstLineChars="200"/>
        <w:rPr>
          <w:rFonts w:eastAsia="仿宋_GB2312"/>
          <w:sz w:val="32"/>
          <w:szCs w:val="32"/>
        </w:rPr>
      </w:pPr>
      <w:r>
        <w:rPr>
          <w:rFonts w:hint="eastAsia" w:ascii="仿宋" w:hAnsi="仿宋" w:eastAsia="仿宋"/>
          <w:b/>
          <w:sz w:val="32"/>
          <w:szCs w:val="32"/>
        </w:rPr>
        <w:t>国内公务接待支出</w:t>
      </w:r>
      <w:r>
        <w:rPr>
          <w:rFonts w:hint="eastAsia" w:eastAsia="仿宋"/>
          <w:sz w:val="32"/>
          <w:szCs w:val="32"/>
        </w:rPr>
        <w:t>2.61</w:t>
      </w:r>
      <w:r>
        <w:rPr>
          <w:rFonts w:eastAsia="仿宋_GB2312"/>
          <w:sz w:val="32"/>
          <w:szCs w:val="32"/>
        </w:rPr>
        <w:t>万元，主要用于执行公务、开展活动开支的交通费、住宿费、用餐费等。国内公务接待</w:t>
      </w:r>
      <w:r>
        <w:rPr>
          <w:rFonts w:hint="eastAsia" w:eastAsia="仿宋_GB2312"/>
          <w:sz w:val="32"/>
          <w:szCs w:val="32"/>
        </w:rPr>
        <w:t>18</w:t>
      </w:r>
      <w:r>
        <w:rPr>
          <w:rFonts w:eastAsia="仿宋_GB2312"/>
          <w:sz w:val="32"/>
          <w:szCs w:val="32"/>
        </w:rPr>
        <w:t>批次，</w:t>
      </w:r>
      <w:r>
        <w:rPr>
          <w:rFonts w:hint="eastAsia" w:eastAsia="仿宋_GB2312"/>
          <w:sz w:val="32"/>
          <w:szCs w:val="32"/>
        </w:rPr>
        <w:t>189</w:t>
      </w:r>
      <w:r>
        <w:rPr>
          <w:rFonts w:eastAsia="仿宋_GB2312"/>
          <w:sz w:val="32"/>
          <w:szCs w:val="32"/>
        </w:rPr>
        <w:t>人次（不包括陪同人员），共计支出</w:t>
      </w:r>
      <w:r>
        <w:rPr>
          <w:rFonts w:hint="eastAsia" w:eastAsia="仿宋_GB2312"/>
          <w:sz w:val="32"/>
          <w:szCs w:val="32"/>
        </w:rPr>
        <w:t>2.61</w:t>
      </w:r>
      <w:r>
        <w:rPr>
          <w:rFonts w:eastAsia="仿宋_GB2312"/>
          <w:sz w:val="32"/>
          <w:szCs w:val="32"/>
        </w:rPr>
        <w:t>万元，具体内容包括：</w:t>
      </w:r>
      <w:r>
        <w:rPr>
          <w:sz w:val="32"/>
          <w:szCs w:val="32"/>
        </w:rPr>
        <w:t>主要用于市域社会治理、多元化矛盾纠纷、维稳安保等专项工作所必要的支出。</w:t>
      </w:r>
    </w:p>
    <w:p>
      <w:pPr>
        <w:spacing w:line="560" w:lineRule="exact"/>
        <w:ind w:firstLine="642" w:firstLineChars="200"/>
        <w:rPr>
          <w:rFonts w:ascii="黑体" w:eastAsia="黑体"/>
          <w:sz w:val="32"/>
          <w:szCs w:val="32"/>
        </w:rPr>
      </w:pPr>
      <w:bookmarkStart w:id="46" w:name="_Toc15396610"/>
      <w:bookmarkStart w:id="47" w:name="_Toc15377218"/>
      <w:r>
        <w:rPr>
          <w:rFonts w:hAnsi="仿宋" w:eastAsia="仿宋"/>
          <w:b/>
          <w:color w:val="000000"/>
          <w:sz w:val="32"/>
          <w:szCs w:val="32"/>
        </w:rPr>
        <w:t>外事接待支出</w:t>
      </w:r>
      <w:r>
        <w:rPr>
          <w:rFonts w:eastAsia="仿宋"/>
          <w:color w:val="000000"/>
          <w:sz w:val="32"/>
          <w:szCs w:val="32"/>
        </w:rPr>
        <w:t>0</w:t>
      </w:r>
      <w:r>
        <w:rPr>
          <w:rFonts w:eastAsia="仿宋_GB2312"/>
          <w:color w:val="000000"/>
          <w:sz w:val="32"/>
          <w:szCs w:val="32"/>
        </w:rPr>
        <w:t>万元，外事接待0批次，0人，共计支出0万元。</w:t>
      </w:r>
    </w:p>
    <w:p>
      <w:pPr>
        <w:spacing w:line="560" w:lineRule="exact"/>
        <w:ind w:firstLine="640"/>
        <w:rPr>
          <w:rStyle w:val="32"/>
          <w:rFonts w:ascii="黑体" w:hAnsi="黑体" w:eastAsia="黑体"/>
        </w:rPr>
      </w:pPr>
      <w:r>
        <w:rPr>
          <w:rFonts w:hint="eastAsia" w:ascii="黑体" w:eastAsia="黑体"/>
          <w:sz w:val="32"/>
          <w:szCs w:val="32"/>
        </w:rPr>
        <w:t>八、</w:t>
      </w:r>
      <w:r>
        <w:rPr>
          <w:rStyle w:val="32"/>
          <w:rFonts w:hint="eastAsia" w:ascii="黑体" w:hAnsi="黑体" w:eastAsia="黑体"/>
          <w:b w:val="0"/>
        </w:rPr>
        <w:t>政府性基金预算支出决算情况说明</w:t>
      </w:r>
      <w:bookmarkEnd w:id="46"/>
      <w:bookmarkEnd w:id="47"/>
    </w:p>
    <w:p>
      <w:pPr>
        <w:spacing w:line="560" w:lineRule="exact"/>
        <w:ind w:firstLine="640"/>
        <w:rPr>
          <w:rFonts w:ascii="仿宋_GB2312" w:eastAsia="仿宋_GB2312"/>
          <w:sz w:val="32"/>
          <w:szCs w:val="32"/>
        </w:rPr>
      </w:pPr>
      <w:r>
        <w:rPr>
          <w:rFonts w:hint="eastAsia" w:ascii="仿宋_GB2312" w:eastAsia="仿宋_GB2312"/>
          <w:sz w:val="32"/>
          <w:szCs w:val="32"/>
        </w:rPr>
        <w:t>2022年政府性基金预算财政拨款支出0万元。</w:t>
      </w:r>
    </w:p>
    <w:p>
      <w:pPr>
        <w:numPr>
          <w:ilvl w:val="0"/>
          <w:numId w:val="2"/>
        </w:numPr>
        <w:spacing w:line="560" w:lineRule="exact"/>
        <w:ind w:firstLine="640"/>
        <w:rPr>
          <w:rStyle w:val="32"/>
          <w:rFonts w:ascii="黑体" w:hAnsi="黑体" w:eastAsia="黑体"/>
          <w:b w:val="0"/>
        </w:rPr>
      </w:pPr>
      <w:bookmarkStart w:id="48" w:name="_Toc15396611"/>
      <w:bookmarkStart w:id="49" w:name="_Toc15377219"/>
      <w:r>
        <w:rPr>
          <w:rStyle w:val="32"/>
          <w:rFonts w:hint="eastAsia" w:ascii="黑体" w:hAnsi="黑体" w:eastAsia="黑体"/>
          <w:b w:val="0"/>
        </w:rPr>
        <w:t>国有资本经营预算支出决算情况说明</w:t>
      </w:r>
      <w:bookmarkEnd w:id="48"/>
      <w:bookmarkEnd w:id="49"/>
    </w:p>
    <w:p>
      <w:pPr>
        <w:spacing w:line="56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2022年国有资本经营预算财政拨款支出0万元。</w:t>
      </w:r>
    </w:p>
    <w:p>
      <w:pPr>
        <w:numPr>
          <w:ilvl w:val="0"/>
          <w:numId w:val="2"/>
        </w:numPr>
        <w:spacing w:line="560" w:lineRule="exact"/>
        <w:ind w:firstLine="640"/>
        <w:rPr>
          <w:rStyle w:val="32"/>
          <w:rFonts w:ascii="黑体" w:hAnsi="黑体" w:eastAsia="黑体"/>
          <w:b w:val="0"/>
        </w:rPr>
      </w:pPr>
      <w:bookmarkStart w:id="50" w:name="_Toc15396612"/>
      <w:bookmarkStart w:id="51" w:name="_Toc15377221"/>
      <w:r>
        <w:rPr>
          <w:rStyle w:val="32"/>
          <w:rFonts w:hint="eastAsia" w:ascii="黑体" w:hAnsi="黑体" w:eastAsia="黑体"/>
          <w:b w:val="0"/>
        </w:rPr>
        <w:t>其他重要事项的情况说明</w:t>
      </w:r>
      <w:bookmarkEnd w:id="50"/>
      <w:bookmarkEnd w:id="51"/>
    </w:p>
    <w:p>
      <w:pPr>
        <w:spacing w:line="560" w:lineRule="exact"/>
        <w:ind w:firstLine="640"/>
        <w:rPr>
          <w:rFonts w:ascii="楷体_GB2312" w:hAnsi="楷体_GB2312" w:eastAsia="楷体_GB2312" w:cs="楷体_GB2312"/>
          <w:bCs/>
          <w:sz w:val="32"/>
          <w:szCs w:val="32"/>
        </w:rPr>
      </w:pPr>
      <w:bookmarkStart w:id="52" w:name="_Toc15377222"/>
      <w:r>
        <w:rPr>
          <w:rFonts w:hint="eastAsia" w:ascii="楷体_GB2312" w:hAnsi="楷体_GB2312" w:eastAsia="楷体_GB2312" w:cs="楷体_GB2312"/>
          <w:bCs/>
          <w:sz w:val="32"/>
          <w:szCs w:val="32"/>
        </w:rPr>
        <w:t>（一）机关运行经费支出情况</w:t>
      </w:r>
      <w:bookmarkEnd w:id="52"/>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2022年，中国共产党宜宾市委员会政法委员会机关运行经费支出80.22万元，比2021年减少1.76万元，下降2.15%。主要原因是严格贯彻落实政府过紧日子的要求。</w:t>
      </w:r>
    </w:p>
    <w:p>
      <w:pPr>
        <w:spacing w:line="560" w:lineRule="exact"/>
        <w:ind w:firstLine="640"/>
        <w:rPr>
          <w:rFonts w:ascii="楷体_GB2312" w:hAnsi="楷体_GB2312" w:eastAsia="楷体_GB2312" w:cs="楷体_GB2312"/>
          <w:bCs/>
          <w:sz w:val="32"/>
          <w:szCs w:val="32"/>
        </w:rPr>
      </w:pPr>
      <w:bookmarkStart w:id="53" w:name="_Toc15377223"/>
      <w:r>
        <w:rPr>
          <w:rFonts w:hint="eastAsia" w:ascii="楷体_GB2312" w:hAnsi="楷体_GB2312" w:eastAsia="楷体_GB2312" w:cs="楷体_GB2312"/>
          <w:bCs/>
          <w:sz w:val="32"/>
          <w:szCs w:val="32"/>
        </w:rPr>
        <w:t>（二）政府采购支出情况</w:t>
      </w:r>
      <w:bookmarkEnd w:id="53"/>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2022年，</w:t>
      </w:r>
      <w:r>
        <w:rPr>
          <w:rFonts w:eastAsia="仿宋_GB2312"/>
          <w:color w:val="000000"/>
          <w:sz w:val="32"/>
          <w:szCs w:val="32"/>
        </w:rPr>
        <w:t>中国共产党宜宾市委员会政法委员会</w:t>
      </w:r>
      <w:r>
        <w:rPr>
          <w:rFonts w:hint="eastAsia" w:ascii="仿宋_GB2312" w:eastAsia="仿宋_GB2312"/>
          <w:sz w:val="32"/>
          <w:szCs w:val="32"/>
        </w:rPr>
        <w:t>政府采购支出总额7.21万元，其中：政府采购货物支出7.21万元、政府采购工程支出0万元、政府采购服务支出0万元。授予中小企业合同金额7.21万元，占政府采购支出总额的100</w:t>
      </w:r>
      <w:r>
        <w:rPr>
          <w:rFonts w:ascii="仿宋_GB2312" w:eastAsia="仿宋_GB2312"/>
          <w:sz w:val="32"/>
          <w:szCs w:val="32"/>
        </w:rPr>
        <w:t>%</w:t>
      </w:r>
      <w:r>
        <w:rPr>
          <w:rFonts w:hint="eastAsia" w:ascii="仿宋_GB2312" w:eastAsia="仿宋_GB2312"/>
          <w:sz w:val="32"/>
          <w:szCs w:val="32"/>
        </w:rPr>
        <w:t>，其中：授予小微企业合同金额7.21万元，占政府采购支出总额的100</w:t>
      </w:r>
      <w:r>
        <w:rPr>
          <w:rFonts w:ascii="仿宋_GB2312" w:eastAsia="仿宋_GB2312"/>
          <w:sz w:val="32"/>
          <w:szCs w:val="32"/>
        </w:rPr>
        <w:t>%</w:t>
      </w:r>
      <w:r>
        <w:rPr>
          <w:rFonts w:hint="eastAsia" w:ascii="仿宋_GB2312" w:eastAsia="仿宋_GB2312"/>
          <w:sz w:val="32"/>
          <w:szCs w:val="32"/>
        </w:rPr>
        <w:t>。</w:t>
      </w:r>
    </w:p>
    <w:p>
      <w:pPr>
        <w:spacing w:line="560" w:lineRule="exact"/>
        <w:ind w:firstLine="640"/>
        <w:rPr>
          <w:rFonts w:ascii="楷体_GB2312" w:hAnsi="楷体_GB2312" w:eastAsia="楷体_GB2312" w:cs="楷体_GB2312"/>
          <w:bCs/>
          <w:sz w:val="32"/>
          <w:szCs w:val="32"/>
        </w:rPr>
      </w:pPr>
      <w:bookmarkStart w:id="54" w:name="_Toc15377224"/>
      <w:r>
        <w:rPr>
          <w:rFonts w:hint="eastAsia" w:ascii="楷体_GB2312" w:hAnsi="楷体_GB2312" w:eastAsia="楷体_GB2312" w:cs="楷体_GB2312"/>
          <w:bCs/>
          <w:sz w:val="32"/>
          <w:szCs w:val="32"/>
        </w:rPr>
        <w:t>（三）国有资产占有使用情况</w:t>
      </w:r>
      <w:bookmarkEnd w:id="54"/>
    </w:p>
    <w:p>
      <w:pPr>
        <w:autoSpaceDE w:val="0"/>
        <w:autoSpaceDN w:val="0"/>
        <w:adjustRightInd w:val="0"/>
        <w:spacing w:line="560" w:lineRule="exact"/>
        <w:ind w:firstLine="640" w:firstLineChars="200"/>
        <w:rPr>
          <w:rFonts w:eastAsia="仿宋"/>
          <w:b/>
          <w:color w:val="FF0000"/>
          <w:sz w:val="32"/>
          <w:szCs w:val="32"/>
        </w:rPr>
      </w:pPr>
      <w:r>
        <w:rPr>
          <w:rFonts w:eastAsia="仿宋_GB2312"/>
          <w:color w:val="000000"/>
          <w:sz w:val="32"/>
          <w:szCs w:val="32"/>
        </w:rPr>
        <w:t>截至</w:t>
      </w:r>
      <w:r>
        <w:rPr>
          <w:rFonts w:hint="eastAsia" w:eastAsia="仿宋_GB2312"/>
          <w:color w:val="000000"/>
          <w:sz w:val="32"/>
          <w:szCs w:val="32"/>
        </w:rPr>
        <w:t>2022</w:t>
      </w:r>
      <w:r>
        <w:rPr>
          <w:rFonts w:eastAsia="仿宋_GB2312"/>
          <w:color w:val="000000"/>
          <w:sz w:val="32"/>
          <w:szCs w:val="32"/>
        </w:rPr>
        <w:t>年12月31日，中国共产党宜宾市委员会政法委员共有车辆1辆，其中：主要领导干部用车0辆、机要通信用车0辆、应急保障用车1辆、其他用车0辆,单价50万元以上通用设备0台（套），单价100万元以上专用设备0台（套）。</w:t>
      </w:r>
    </w:p>
    <w:p>
      <w:pPr>
        <w:spacing w:line="560" w:lineRule="exact"/>
        <w:ind w:firstLine="64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（四）预算绩效管理情况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2022年度预算编制阶段，组织对5个项目开展了预算事前绩效评估，对17个项目编制了绩效目标，预算执行过程中，对所有项目开展绩效监控，年终执行完毕后，开展了绩效自评。同时，本部门对2022年部门整体开展绩效自评，《2022年中国共产党宜宾市委员会政法委员会部门整体绩效评价报告》见附件（第四部分）。</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numPr>
          <w:ilvl w:val="0"/>
          <w:numId w:val="3"/>
        </w:numPr>
        <w:spacing w:line="560" w:lineRule="exact"/>
        <w:ind w:firstLine="660" w:firstLineChars="150"/>
        <w:jc w:val="center"/>
        <w:rPr>
          <w:rStyle w:val="31"/>
          <w:rFonts w:ascii="黑体" w:hAnsi="黑体" w:eastAsia="黑体"/>
          <w:b w:val="0"/>
        </w:rPr>
      </w:pPr>
      <w:bookmarkStart w:id="55" w:name="_Toc15377225"/>
      <w:bookmarkStart w:id="56" w:name="_Toc15396613"/>
      <w:r>
        <w:rPr>
          <w:rFonts w:hint="eastAsia" w:ascii="黑体" w:hAnsi="黑体" w:eastAsia="黑体"/>
          <w:sz w:val="44"/>
          <w:szCs w:val="44"/>
        </w:rPr>
        <w:t>名</w:t>
      </w:r>
      <w:r>
        <w:rPr>
          <w:rStyle w:val="31"/>
          <w:rFonts w:hint="eastAsia" w:ascii="黑体" w:hAnsi="黑体" w:eastAsia="黑体"/>
          <w:b w:val="0"/>
        </w:rPr>
        <w:t>词解释</w:t>
      </w:r>
      <w:bookmarkEnd w:id="55"/>
      <w:bookmarkEnd w:id="56"/>
    </w:p>
    <w:p>
      <w:pPr>
        <w:spacing w:line="560" w:lineRule="exact"/>
        <w:rPr>
          <w:rFonts w:ascii="宋体"/>
          <w:b/>
          <w:sz w:val="44"/>
          <w:szCs w:val="44"/>
        </w:rPr>
      </w:pPr>
    </w:p>
    <w:p>
      <w:pPr>
        <w:pStyle w:val="29"/>
        <w:spacing w:line="560" w:lineRule="exact"/>
        <w:ind w:firstLine="640" w:firstLineChars="200"/>
        <w:jc w:val="both"/>
        <w:rPr>
          <w:rFonts w:ascii="Times New Roman" w:eastAsia="仿宋_GB2312" w:cs="Times New Roman"/>
          <w:sz w:val="32"/>
          <w:szCs w:val="32"/>
        </w:rPr>
      </w:pPr>
      <w:r>
        <w:rPr>
          <w:rFonts w:ascii="Times New Roman" w:eastAsia="仿宋_GB2312" w:cs="Times New Roman"/>
          <w:sz w:val="32"/>
          <w:szCs w:val="32"/>
        </w:rPr>
        <w:t>1.财政拨款收入：指单位从同级财政部门取得的财政预算资金。</w:t>
      </w:r>
    </w:p>
    <w:p>
      <w:pPr>
        <w:pStyle w:val="29"/>
        <w:spacing w:line="560" w:lineRule="exact"/>
        <w:ind w:firstLine="640" w:firstLineChars="200"/>
        <w:jc w:val="both"/>
        <w:rPr>
          <w:rFonts w:ascii="Times New Roman" w:eastAsia="仿宋_GB2312" w:cs="Times New Roman"/>
          <w:sz w:val="32"/>
          <w:szCs w:val="32"/>
        </w:rPr>
      </w:pPr>
      <w:r>
        <w:rPr>
          <w:rFonts w:ascii="Times New Roman" w:eastAsia="仿宋_GB2312" w:cs="Times New Roman"/>
          <w:sz w:val="32"/>
          <w:szCs w:val="32"/>
        </w:rPr>
        <w:t>2.事业收入：指事业单位开展专业业务活动及辅助活动取得的收入。</w:t>
      </w:r>
    </w:p>
    <w:p>
      <w:pPr>
        <w:pStyle w:val="29"/>
        <w:spacing w:line="560" w:lineRule="exact"/>
        <w:ind w:firstLine="640" w:firstLineChars="200"/>
        <w:jc w:val="both"/>
        <w:rPr>
          <w:rFonts w:ascii="Times New Roman" w:eastAsia="仿宋_GB2312" w:cs="Times New Roman"/>
          <w:sz w:val="32"/>
          <w:szCs w:val="32"/>
        </w:rPr>
      </w:pPr>
      <w:r>
        <w:rPr>
          <w:rFonts w:ascii="Times New Roman" w:eastAsia="仿宋_GB2312" w:cs="Times New Roman"/>
          <w:sz w:val="32"/>
          <w:szCs w:val="32"/>
        </w:rPr>
        <w:t>3.经营收入：指事业单位在专业业务活动及其辅助活动之外开展非独立核算经营活动取得的收入。</w:t>
      </w:r>
    </w:p>
    <w:p>
      <w:pPr>
        <w:pStyle w:val="29"/>
        <w:spacing w:line="560" w:lineRule="exact"/>
        <w:ind w:firstLine="640" w:firstLineChars="200"/>
        <w:jc w:val="both"/>
        <w:rPr>
          <w:rFonts w:ascii="Times New Roman" w:eastAsia="仿宋_GB2312" w:cs="Times New Roman"/>
          <w:sz w:val="32"/>
          <w:szCs w:val="32"/>
        </w:rPr>
      </w:pPr>
      <w:r>
        <w:rPr>
          <w:rFonts w:ascii="Times New Roman" w:eastAsia="仿宋_GB2312" w:cs="Times New Roman"/>
          <w:sz w:val="32"/>
          <w:szCs w:val="32"/>
        </w:rPr>
        <w:t>4.其他收入：指单位取得的除上述收入以外的各项收入。</w:t>
      </w:r>
    </w:p>
    <w:p>
      <w:pPr>
        <w:pStyle w:val="29"/>
        <w:spacing w:line="560" w:lineRule="exact"/>
        <w:ind w:firstLine="640" w:firstLineChars="200"/>
        <w:jc w:val="both"/>
        <w:rPr>
          <w:rFonts w:ascii="Times New Roman" w:eastAsia="仿宋_GB2312" w:cs="Times New Roman"/>
          <w:sz w:val="32"/>
          <w:szCs w:val="32"/>
        </w:rPr>
      </w:pPr>
      <w:r>
        <w:rPr>
          <w:rFonts w:ascii="Times New Roman" w:eastAsia="仿宋_GB2312" w:cs="Times New Roman"/>
          <w:sz w:val="32"/>
          <w:szCs w:val="32"/>
        </w:rPr>
        <w:t xml:space="preserve">5.使用非财政拨款结余：指事业单位使用以前年度积累的非财政拨款结余弥补当年收支差额的金额。 </w:t>
      </w:r>
    </w:p>
    <w:p>
      <w:pPr>
        <w:pStyle w:val="29"/>
        <w:spacing w:line="560" w:lineRule="exact"/>
        <w:ind w:firstLine="640" w:firstLineChars="200"/>
        <w:jc w:val="both"/>
        <w:rPr>
          <w:rFonts w:ascii="Times New Roman" w:eastAsia="仿宋_GB2312" w:cs="Times New Roman"/>
          <w:sz w:val="32"/>
          <w:szCs w:val="32"/>
        </w:rPr>
      </w:pPr>
      <w:r>
        <w:rPr>
          <w:rFonts w:ascii="Times New Roman" w:eastAsia="仿宋_GB2312" w:cs="Times New Roman"/>
          <w:sz w:val="32"/>
          <w:szCs w:val="32"/>
        </w:rPr>
        <w:t xml:space="preserve">6.年初结转和结余：指以前年度尚未完成、结转到本年按有关规定继续使用的资金。 </w:t>
      </w:r>
    </w:p>
    <w:p>
      <w:pPr>
        <w:pStyle w:val="29"/>
        <w:spacing w:line="560" w:lineRule="exact"/>
        <w:ind w:firstLine="640" w:firstLineChars="200"/>
        <w:jc w:val="both"/>
        <w:rPr>
          <w:rFonts w:ascii="Times New Roman" w:eastAsia="仿宋_GB2312" w:cs="Times New Roman"/>
          <w:sz w:val="32"/>
          <w:szCs w:val="32"/>
        </w:rPr>
      </w:pPr>
      <w:r>
        <w:rPr>
          <w:rFonts w:ascii="Times New Roman" w:eastAsia="仿宋_GB2312" w:cs="Times New Roman"/>
          <w:sz w:val="32"/>
          <w:szCs w:val="32"/>
        </w:rPr>
        <w:t>7.结余分配：指事业单位按照会计制度规定缴纳的所得税、提取的专用结余以及转入非财政拨款结余的金额等。</w:t>
      </w:r>
    </w:p>
    <w:p>
      <w:pPr>
        <w:pStyle w:val="29"/>
        <w:spacing w:line="560" w:lineRule="exact"/>
        <w:ind w:firstLine="640" w:firstLineChars="200"/>
        <w:jc w:val="both"/>
        <w:rPr>
          <w:rFonts w:ascii="Times New Roman" w:eastAsia="仿宋_GB2312" w:cs="Times New Roman"/>
          <w:sz w:val="32"/>
          <w:szCs w:val="32"/>
        </w:rPr>
      </w:pPr>
      <w:r>
        <w:rPr>
          <w:rFonts w:ascii="Times New Roman" w:eastAsia="仿宋_GB2312" w:cs="Times New Roman"/>
          <w:sz w:val="32"/>
          <w:szCs w:val="32"/>
        </w:rPr>
        <w:t>8.年末结转和结余：指单位按有关规定结转到下年或以后年度继续使用的资金。</w:t>
      </w:r>
    </w:p>
    <w:p>
      <w:pPr>
        <w:autoSpaceDE w:val="0"/>
        <w:autoSpaceDN w:val="0"/>
        <w:adjustRightInd w:val="0"/>
        <w:spacing w:line="560" w:lineRule="exact"/>
        <w:ind w:firstLine="640" w:firstLineChars="200"/>
        <w:rPr>
          <w:rFonts w:hAnsi="Calibri" w:eastAsia="仿宋_GB2312"/>
          <w:b/>
          <w:kern w:val="0"/>
        </w:rPr>
      </w:pPr>
      <w:r>
        <w:rPr>
          <w:rFonts w:hAnsi="Calibri" w:eastAsia="仿宋_GB2312"/>
          <w:color w:val="000000"/>
          <w:kern w:val="0"/>
          <w:sz w:val="32"/>
          <w:szCs w:val="32"/>
        </w:rPr>
        <w:t>9. 一般公共服务（类）党委办公厅（室）及相关机构事务（款）行政运行（项）</w:t>
      </w:r>
      <w:r>
        <w:rPr>
          <w:rFonts w:hint="eastAsia" w:hAnsi="Calibri" w:eastAsia="仿宋_GB2312"/>
          <w:color w:val="000000"/>
          <w:kern w:val="0"/>
          <w:sz w:val="32"/>
          <w:szCs w:val="32"/>
        </w:rPr>
        <w:t>：</w:t>
      </w:r>
      <w:r>
        <w:rPr>
          <w:rFonts w:hAnsi="Calibri" w:eastAsia="仿宋_GB2312"/>
          <w:color w:val="000000"/>
          <w:kern w:val="0"/>
          <w:sz w:val="32"/>
          <w:szCs w:val="32"/>
        </w:rPr>
        <w:t>指主要用于在职在编人员基本工资、津贴补贴，保障机关正常运转的日常公用支出。</w:t>
      </w:r>
    </w:p>
    <w:p>
      <w:pPr>
        <w:autoSpaceDE w:val="0"/>
        <w:autoSpaceDN w:val="0"/>
        <w:adjustRightInd w:val="0"/>
        <w:spacing w:line="560" w:lineRule="exact"/>
        <w:ind w:firstLine="640" w:firstLineChars="200"/>
        <w:rPr>
          <w:rFonts w:hAnsi="Calibri" w:eastAsia="仿宋_GB2312"/>
          <w:color w:val="000000"/>
          <w:kern w:val="0"/>
          <w:sz w:val="32"/>
          <w:szCs w:val="32"/>
        </w:rPr>
      </w:pPr>
      <w:r>
        <w:rPr>
          <w:rFonts w:hint="eastAsia" w:hAnsi="Calibri" w:eastAsia="仿宋_GB2312"/>
          <w:color w:val="000000"/>
          <w:kern w:val="0"/>
          <w:sz w:val="32"/>
          <w:szCs w:val="32"/>
        </w:rPr>
        <w:t>10.</w:t>
      </w:r>
      <w:r>
        <w:rPr>
          <w:rFonts w:hAnsi="Calibri" w:eastAsia="仿宋_GB2312"/>
          <w:color w:val="000000"/>
          <w:kern w:val="0"/>
          <w:sz w:val="32"/>
          <w:szCs w:val="32"/>
        </w:rPr>
        <w:t>一般公共服务（类）党委办公厅（室）及相关机构事务（款）行政运行（项）:指主要用于在职在编人员基本工资、津贴补贴，保障机关正常运转的日常公用支出。</w:t>
      </w:r>
    </w:p>
    <w:p>
      <w:pPr>
        <w:autoSpaceDE w:val="0"/>
        <w:autoSpaceDN w:val="0"/>
        <w:adjustRightInd w:val="0"/>
        <w:spacing w:line="560" w:lineRule="exact"/>
        <w:ind w:firstLine="640" w:firstLineChars="200"/>
        <w:rPr>
          <w:rFonts w:hAnsi="Calibri" w:eastAsia="仿宋_GB2312"/>
          <w:color w:val="000000"/>
          <w:kern w:val="0"/>
          <w:sz w:val="32"/>
          <w:szCs w:val="32"/>
        </w:rPr>
      </w:pPr>
      <w:r>
        <w:rPr>
          <w:rFonts w:hAnsi="Calibri" w:eastAsia="仿宋_GB2312"/>
          <w:color w:val="000000"/>
          <w:kern w:val="0"/>
          <w:sz w:val="32"/>
          <w:szCs w:val="32"/>
        </w:rPr>
        <w:t>1</w:t>
      </w:r>
      <w:r>
        <w:rPr>
          <w:rFonts w:hint="eastAsia" w:hAnsi="Calibri" w:eastAsia="仿宋_GB2312"/>
          <w:color w:val="000000"/>
          <w:kern w:val="0"/>
          <w:sz w:val="32"/>
          <w:szCs w:val="32"/>
        </w:rPr>
        <w:t>1</w:t>
      </w:r>
      <w:r>
        <w:rPr>
          <w:rFonts w:hAnsi="Calibri" w:eastAsia="仿宋_GB2312"/>
          <w:color w:val="000000"/>
          <w:kern w:val="0"/>
          <w:sz w:val="32"/>
          <w:szCs w:val="32"/>
        </w:rPr>
        <w:t xml:space="preserve">. 一般公共服务（类）党委办公厅（室）及相关机构事务（款）一般行政管理事务（项）:指主要用于有序开展维稳、社会治安综合治理、依法治市、政法队伍建设、政法部门服务保障经济发展、信息化建设以及见义勇为等重点工作。 </w:t>
      </w:r>
    </w:p>
    <w:p>
      <w:pPr>
        <w:autoSpaceDE w:val="0"/>
        <w:autoSpaceDN w:val="0"/>
        <w:adjustRightInd w:val="0"/>
        <w:spacing w:line="560" w:lineRule="exact"/>
        <w:ind w:firstLine="640" w:firstLineChars="200"/>
        <w:rPr>
          <w:rFonts w:hAnsi="Calibri" w:eastAsia="仿宋_GB2312"/>
          <w:color w:val="000000"/>
          <w:kern w:val="0"/>
          <w:sz w:val="32"/>
          <w:szCs w:val="32"/>
        </w:rPr>
      </w:pPr>
      <w:r>
        <w:rPr>
          <w:rFonts w:hAnsi="Calibri" w:eastAsia="仿宋_GB2312"/>
          <w:color w:val="000000"/>
          <w:kern w:val="0"/>
          <w:sz w:val="32"/>
          <w:szCs w:val="32"/>
        </w:rPr>
        <w:t>1</w:t>
      </w:r>
      <w:r>
        <w:rPr>
          <w:rFonts w:hint="eastAsia" w:hAnsi="Calibri" w:eastAsia="仿宋_GB2312"/>
          <w:color w:val="000000"/>
          <w:kern w:val="0"/>
          <w:sz w:val="32"/>
          <w:szCs w:val="32"/>
        </w:rPr>
        <w:t>2</w:t>
      </w:r>
      <w:r>
        <w:rPr>
          <w:rFonts w:hAnsi="Calibri" w:eastAsia="仿宋_GB2312"/>
          <w:color w:val="000000"/>
          <w:kern w:val="0"/>
          <w:sz w:val="32"/>
          <w:szCs w:val="32"/>
        </w:rPr>
        <w:t xml:space="preserve">.一般公共服务（类）党委办公厅（室）及相关机构事务（款）事业运行（项）: 指主要用于在职在编人员基本工资、津贴补贴。 </w:t>
      </w:r>
    </w:p>
    <w:p>
      <w:pPr>
        <w:autoSpaceDE w:val="0"/>
        <w:autoSpaceDN w:val="0"/>
        <w:adjustRightInd w:val="0"/>
        <w:spacing w:line="560" w:lineRule="exact"/>
        <w:ind w:firstLine="640" w:firstLineChars="200"/>
        <w:rPr>
          <w:rFonts w:hAnsi="Calibri" w:eastAsia="仿宋_GB2312"/>
          <w:color w:val="000000"/>
          <w:kern w:val="0"/>
          <w:sz w:val="32"/>
          <w:szCs w:val="32"/>
        </w:rPr>
      </w:pPr>
      <w:r>
        <w:rPr>
          <w:rFonts w:hAnsi="Calibri" w:eastAsia="仿宋_GB2312"/>
          <w:color w:val="000000"/>
          <w:kern w:val="0"/>
          <w:sz w:val="32"/>
          <w:szCs w:val="32"/>
        </w:rPr>
        <w:t>1</w:t>
      </w:r>
      <w:r>
        <w:rPr>
          <w:rFonts w:hint="eastAsia" w:hAnsi="Calibri" w:eastAsia="仿宋_GB2312"/>
          <w:color w:val="000000"/>
          <w:kern w:val="0"/>
          <w:sz w:val="32"/>
          <w:szCs w:val="32"/>
        </w:rPr>
        <w:t>3</w:t>
      </w:r>
      <w:r>
        <w:rPr>
          <w:rFonts w:hAnsi="Calibri" w:eastAsia="仿宋_GB2312"/>
          <w:color w:val="000000"/>
          <w:kern w:val="0"/>
          <w:sz w:val="32"/>
          <w:szCs w:val="32"/>
        </w:rPr>
        <w:t xml:space="preserve">. 公共安全支出（类）公安（款）一般行政管理事务（项）: 指主要用于有序开展维稳、社会治安综合治理、依法治市、政法队伍建设、政法部门服务保障经济发展、信息化建设以及见义勇为等重点工作。 </w:t>
      </w:r>
    </w:p>
    <w:p>
      <w:pPr>
        <w:autoSpaceDE w:val="0"/>
        <w:autoSpaceDN w:val="0"/>
        <w:adjustRightInd w:val="0"/>
        <w:spacing w:line="560" w:lineRule="exact"/>
        <w:ind w:firstLine="640" w:firstLineChars="200"/>
        <w:rPr>
          <w:rFonts w:hAnsi="Calibri" w:eastAsia="仿宋_GB2312"/>
          <w:color w:val="000000"/>
          <w:kern w:val="0"/>
          <w:sz w:val="32"/>
          <w:szCs w:val="32"/>
        </w:rPr>
      </w:pPr>
      <w:r>
        <w:rPr>
          <w:rFonts w:hint="eastAsia" w:hAnsi="Calibri" w:eastAsia="仿宋_GB2312"/>
          <w:color w:val="000000"/>
          <w:kern w:val="0"/>
          <w:sz w:val="32"/>
          <w:szCs w:val="32"/>
        </w:rPr>
        <w:t>14.</w:t>
      </w:r>
      <w:r>
        <w:rPr>
          <w:rFonts w:hAnsi="Calibri" w:eastAsia="仿宋_GB2312"/>
          <w:color w:val="000000"/>
          <w:kern w:val="0"/>
          <w:sz w:val="32"/>
          <w:szCs w:val="32"/>
        </w:rPr>
        <w:t>公共安全支出（类）</w:t>
      </w:r>
      <w:r>
        <w:rPr>
          <w:rFonts w:hint="eastAsia" w:hAnsi="Calibri" w:eastAsia="仿宋_GB2312"/>
          <w:color w:val="000000"/>
          <w:kern w:val="0"/>
          <w:sz w:val="32"/>
          <w:szCs w:val="32"/>
        </w:rPr>
        <w:t>其他</w:t>
      </w:r>
      <w:r>
        <w:rPr>
          <w:rFonts w:hAnsi="Calibri" w:eastAsia="仿宋_GB2312"/>
          <w:color w:val="000000"/>
          <w:kern w:val="0"/>
          <w:sz w:val="32"/>
          <w:szCs w:val="32"/>
        </w:rPr>
        <w:t>公共安全支出（款）</w:t>
      </w:r>
      <w:r>
        <w:rPr>
          <w:rFonts w:hint="eastAsia" w:hAnsi="Calibri" w:eastAsia="仿宋_GB2312"/>
          <w:color w:val="000000"/>
          <w:kern w:val="0"/>
          <w:sz w:val="32"/>
          <w:szCs w:val="32"/>
        </w:rPr>
        <w:t>其他</w:t>
      </w:r>
      <w:r>
        <w:rPr>
          <w:rFonts w:hAnsi="Calibri" w:eastAsia="仿宋_GB2312"/>
          <w:color w:val="000000"/>
          <w:kern w:val="0"/>
          <w:sz w:val="32"/>
          <w:szCs w:val="32"/>
        </w:rPr>
        <w:t>公共安全支出（项）: 指主要用于有序开展宜宾市公共安全视频监控建设联网应用项目</w:t>
      </w:r>
      <w:r>
        <w:rPr>
          <w:rFonts w:hint="eastAsia" w:hAnsi="Calibri" w:eastAsia="仿宋_GB2312"/>
          <w:color w:val="000000"/>
          <w:kern w:val="0"/>
          <w:sz w:val="32"/>
          <w:szCs w:val="32"/>
        </w:rPr>
        <w:t>建设工作。</w:t>
      </w:r>
    </w:p>
    <w:p>
      <w:pPr>
        <w:autoSpaceDE w:val="0"/>
        <w:autoSpaceDN w:val="0"/>
        <w:adjustRightInd w:val="0"/>
        <w:spacing w:line="560" w:lineRule="exact"/>
        <w:ind w:firstLine="640" w:firstLineChars="200"/>
        <w:rPr>
          <w:rFonts w:hAnsi="Calibri" w:eastAsia="仿宋_GB2312"/>
          <w:color w:val="000000"/>
          <w:kern w:val="0"/>
          <w:sz w:val="32"/>
          <w:szCs w:val="32"/>
        </w:rPr>
      </w:pPr>
      <w:r>
        <w:rPr>
          <w:rFonts w:hAnsi="Calibri" w:eastAsia="仿宋_GB2312"/>
          <w:color w:val="000000"/>
          <w:kern w:val="0"/>
          <w:sz w:val="32"/>
          <w:szCs w:val="32"/>
        </w:rPr>
        <w:t>1</w:t>
      </w:r>
      <w:r>
        <w:rPr>
          <w:rFonts w:hint="eastAsia" w:hAnsi="Calibri" w:eastAsia="仿宋_GB2312"/>
          <w:color w:val="000000"/>
          <w:kern w:val="0"/>
          <w:sz w:val="32"/>
          <w:szCs w:val="32"/>
        </w:rPr>
        <w:t>5</w:t>
      </w:r>
      <w:r>
        <w:rPr>
          <w:rFonts w:hAnsi="Calibri" w:eastAsia="仿宋_GB2312"/>
          <w:color w:val="000000"/>
          <w:kern w:val="0"/>
          <w:sz w:val="32"/>
          <w:szCs w:val="32"/>
        </w:rPr>
        <w:t>.社会保障和就业</w:t>
      </w:r>
      <w:r>
        <w:rPr>
          <w:rFonts w:hint="eastAsia" w:hAnsi="Calibri" w:eastAsia="仿宋_GB2312"/>
          <w:color w:val="000000"/>
          <w:kern w:val="0"/>
          <w:sz w:val="32"/>
          <w:szCs w:val="32"/>
        </w:rPr>
        <w:t>支出</w:t>
      </w:r>
      <w:r>
        <w:rPr>
          <w:rFonts w:hAnsi="Calibri" w:eastAsia="仿宋_GB2312"/>
          <w:color w:val="000000"/>
          <w:kern w:val="0"/>
          <w:sz w:val="32"/>
          <w:szCs w:val="32"/>
        </w:rPr>
        <w:t>（类）行政事业单位</w:t>
      </w:r>
      <w:r>
        <w:rPr>
          <w:rFonts w:hint="eastAsia" w:hAnsi="Calibri" w:eastAsia="仿宋_GB2312"/>
          <w:color w:val="000000"/>
          <w:kern w:val="0"/>
          <w:sz w:val="32"/>
          <w:szCs w:val="32"/>
        </w:rPr>
        <w:t>养老支出</w:t>
      </w:r>
      <w:r>
        <w:rPr>
          <w:rFonts w:hAnsi="Calibri" w:eastAsia="仿宋_GB2312"/>
          <w:color w:val="000000"/>
          <w:kern w:val="0"/>
          <w:sz w:val="32"/>
          <w:szCs w:val="32"/>
        </w:rPr>
        <w:t>（款）</w:t>
      </w:r>
      <w:r>
        <w:rPr>
          <w:rFonts w:hint="eastAsia" w:hAnsi="Calibri" w:eastAsia="仿宋_GB2312"/>
          <w:color w:val="000000"/>
          <w:kern w:val="0"/>
          <w:sz w:val="32"/>
          <w:szCs w:val="32"/>
        </w:rPr>
        <w:t>行政单位离退休</w:t>
      </w:r>
      <w:r>
        <w:rPr>
          <w:rFonts w:hAnsi="Calibri" w:eastAsia="仿宋_GB2312"/>
          <w:color w:val="000000"/>
          <w:kern w:val="0"/>
          <w:sz w:val="32"/>
          <w:szCs w:val="32"/>
        </w:rPr>
        <w:t xml:space="preserve">（项）: 指主要用于离退休人员离退休费和津补贴。 </w:t>
      </w:r>
    </w:p>
    <w:p>
      <w:pPr>
        <w:autoSpaceDE w:val="0"/>
        <w:autoSpaceDN w:val="0"/>
        <w:adjustRightInd w:val="0"/>
        <w:spacing w:line="560" w:lineRule="exact"/>
        <w:ind w:firstLine="640" w:firstLineChars="200"/>
        <w:rPr>
          <w:rFonts w:hAnsi="Calibri" w:eastAsia="仿宋_GB2312"/>
          <w:color w:val="000000"/>
          <w:kern w:val="0"/>
          <w:sz w:val="32"/>
          <w:szCs w:val="32"/>
        </w:rPr>
      </w:pPr>
      <w:r>
        <w:rPr>
          <w:rFonts w:hAnsi="Calibri" w:eastAsia="仿宋_GB2312"/>
          <w:color w:val="000000"/>
          <w:kern w:val="0"/>
          <w:sz w:val="32"/>
          <w:szCs w:val="32"/>
        </w:rPr>
        <w:t>1</w:t>
      </w:r>
      <w:r>
        <w:rPr>
          <w:rFonts w:hint="eastAsia" w:hAnsi="Calibri" w:eastAsia="仿宋_GB2312"/>
          <w:color w:val="000000"/>
          <w:kern w:val="0"/>
          <w:sz w:val="32"/>
          <w:szCs w:val="32"/>
        </w:rPr>
        <w:t>6</w:t>
      </w:r>
      <w:r>
        <w:rPr>
          <w:rFonts w:hAnsi="Calibri" w:eastAsia="仿宋_GB2312"/>
          <w:color w:val="000000"/>
          <w:kern w:val="0"/>
          <w:sz w:val="32"/>
          <w:szCs w:val="32"/>
        </w:rPr>
        <w:t>.社会保障和就业</w:t>
      </w:r>
      <w:r>
        <w:rPr>
          <w:rFonts w:hint="eastAsia" w:hAnsi="Calibri" w:eastAsia="仿宋_GB2312"/>
          <w:color w:val="000000"/>
          <w:kern w:val="0"/>
          <w:sz w:val="32"/>
          <w:szCs w:val="32"/>
        </w:rPr>
        <w:t>支出</w:t>
      </w:r>
      <w:r>
        <w:rPr>
          <w:rFonts w:hAnsi="Calibri" w:eastAsia="仿宋_GB2312"/>
          <w:color w:val="000000"/>
          <w:kern w:val="0"/>
          <w:sz w:val="32"/>
          <w:szCs w:val="32"/>
        </w:rPr>
        <w:t>（类）行政事业单位</w:t>
      </w:r>
      <w:r>
        <w:rPr>
          <w:rFonts w:hint="eastAsia" w:hAnsi="Calibri" w:eastAsia="仿宋_GB2312"/>
          <w:color w:val="000000"/>
          <w:kern w:val="0"/>
          <w:sz w:val="32"/>
          <w:szCs w:val="32"/>
        </w:rPr>
        <w:t>养老支出</w:t>
      </w:r>
      <w:r>
        <w:rPr>
          <w:rFonts w:hAnsi="Calibri" w:eastAsia="仿宋_GB2312"/>
          <w:color w:val="000000"/>
          <w:kern w:val="0"/>
          <w:sz w:val="32"/>
          <w:szCs w:val="32"/>
        </w:rPr>
        <w:t>（款）机关事业单位基本养老保险缴费支出（项）: 指财政部门集中安排的机关事业单位基本养老保险缴费支出</w:t>
      </w:r>
      <w:r>
        <w:rPr>
          <w:rFonts w:hint="eastAsia" w:hAnsi="Calibri" w:eastAsia="仿宋_GB2312"/>
          <w:color w:val="000000"/>
          <w:kern w:val="0"/>
          <w:sz w:val="32"/>
          <w:szCs w:val="32"/>
        </w:rPr>
        <w:t>。</w:t>
      </w:r>
    </w:p>
    <w:p>
      <w:pPr>
        <w:autoSpaceDE w:val="0"/>
        <w:autoSpaceDN w:val="0"/>
        <w:adjustRightInd w:val="0"/>
        <w:spacing w:line="560" w:lineRule="exact"/>
        <w:ind w:firstLine="640" w:firstLineChars="200"/>
        <w:rPr>
          <w:rFonts w:hAnsi="Calibri" w:eastAsia="仿宋_GB2312"/>
          <w:color w:val="000000"/>
          <w:kern w:val="0"/>
          <w:sz w:val="32"/>
          <w:szCs w:val="32"/>
        </w:rPr>
      </w:pPr>
      <w:r>
        <w:rPr>
          <w:rFonts w:hAnsi="Calibri" w:eastAsia="仿宋_GB2312"/>
          <w:color w:val="000000"/>
          <w:kern w:val="0"/>
          <w:sz w:val="32"/>
          <w:szCs w:val="32"/>
        </w:rPr>
        <w:t>17.卫生健康</w:t>
      </w:r>
      <w:r>
        <w:rPr>
          <w:rFonts w:hint="eastAsia" w:hAnsi="Calibri" w:eastAsia="仿宋_GB2312"/>
          <w:color w:val="000000"/>
          <w:kern w:val="0"/>
          <w:sz w:val="32"/>
          <w:szCs w:val="32"/>
        </w:rPr>
        <w:t>支出</w:t>
      </w:r>
      <w:r>
        <w:rPr>
          <w:rFonts w:hAnsi="Calibri" w:eastAsia="仿宋_GB2312"/>
          <w:color w:val="000000"/>
          <w:kern w:val="0"/>
          <w:sz w:val="32"/>
          <w:szCs w:val="32"/>
        </w:rPr>
        <w:t xml:space="preserve">（类）行政事业单位医疗（款）行政单位医疗（项）: 指财政部门集中安排的行政单位基本医疗保险缴费经费。 </w:t>
      </w:r>
    </w:p>
    <w:p>
      <w:pPr>
        <w:autoSpaceDE w:val="0"/>
        <w:autoSpaceDN w:val="0"/>
        <w:adjustRightInd w:val="0"/>
        <w:spacing w:line="560" w:lineRule="exact"/>
        <w:ind w:firstLine="640" w:firstLineChars="200"/>
        <w:rPr>
          <w:rFonts w:hAnsi="Calibri" w:eastAsia="仿宋_GB2312"/>
          <w:color w:val="000000"/>
          <w:kern w:val="0"/>
          <w:sz w:val="32"/>
          <w:szCs w:val="32"/>
        </w:rPr>
      </w:pPr>
      <w:r>
        <w:rPr>
          <w:rFonts w:hAnsi="Calibri" w:eastAsia="仿宋_GB2312"/>
          <w:color w:val="000000"/>
          <w:kern w:val="0"/>
          <w:sz w:val="32"/>
          <w:szCs w:val="32"/>
        </w:rPr>
        <w:t>18.卫生健康</w:t>
      </w:r>
      <w:r>
        <w:rPr>
          <w:rFonts w:hint="eastAsia" w:hAnsi="Calibri" w:eastAsia="仿宋_GB2312"/>
          <w:color w:val="000000"/>
          <w:kern w:val="0"/>
          <w:sz w:val="32"/>
          <w:szCs w:val="32"/>
        </w:rPr>
        <w:t>支出</w:t>
      </w:r>
      <w:r>
        <w:rPr>
          <w:rFonts w:hAnsi="Calibri" w:eastAsia="仿宋_GB2312"/>
          <w:color w:val="000000"/>
          <w:kern w:val="0"/>
          <w:sz w:val="32"/>
          <w:szCs w:val="32"/>
        </w:rPr>
        <w:t xml:space="preserve">（类）行政事业单位医疗（款）事业单位医疗（项）: 指财政部门集中安排的行政单位基本医疗保险缴费经费。 </w:t>
      </w:r>
    </w:p>
    <w:p>
      <w:pPr>
        <w:autoSpaceDE w:val="0"/>
        <w:autoSpaceDN w:val="0"/>
        <w:adjustRightInd w:val="0"/>
        <w:spacing w:line="560" w:lineRule="exact"/>
        <w:ind w:firstLine="640" w:firstLineChars="200"/>
        <w:rPr>
          <w:rFonts w:hAnsi="Calibri" w:eastAsia="仿宋_GB2312"/>
          <w:color w:val="000000"/>
          <w:kern w:val="0"/>
          <w:sz w:val="32"/>
          <w:szCs w:val="32"/>
        </w:rPr>
      </w:pPr>
      <w:r>
        <w:rPr>
          <w:rFonts w:hAnsi="Calibri" w:eastAsia="仿宋_GB2312"/>
          <w:color w:val="000000"/>
          <w:kern w:val="0"/>
          <w:sz w:val="32"/>
          <w:szCs w:val="32"/>
        </w:rPr>
        <w:t>1</w:t>
      </w:r>
      <w:r>
        <w:rPr>
          <w:rFonts w:hint="eastAsia" w:hAnsi="Calibri" w:eastAsia="仿宋_GB2312"/>
          <w:color w:val="000000"/>
          <w:kern w:val="0"/>
          <w:sz w:val="32"/>
          <w:szCs w:val="32"/>
        </w:rPr>
        <w:t>9</w:t>
      </w:r>
      <w:r>
        <w:rPr>
          <w:rFonts w:hAnsi="Calibri" w:eastAsia="仿宋_GB2312"/>
          <w:color w:val="000000"/>
          <w:kern w:val="0"/>
          <w:sz w:val="32"/>
          <w:szCs w:val="32"/>
        </w:rPr>
        <w:t>.卫生健康</w:t>
      </w:r>
      <w:r>
        <w:rPr>
          <w:rFonts w:hint="eastAsia" w:hAnsi="Calibri" w:eastAsia="仿宋_GB2312"/>
          <w:color w:val="000000"/>
          <w:kern w:val="0"/>
          <w:sz w:val="32"/>
          <w:szCs w:val="32"/>
        </w:rPr>
        <w:t>支出</w:t>
      </w:r>
      <w:r>
        <w:rPr>
          <w:rFonts w:hAnsi="Calibri" w:eastAsia="仿宋_GB2312"/>
          <w:color w:val="000000"/>
          <w:kern w:val="0"/>
          <w:sz w:val="32"/>
          <w:szCs w:val="32"/>
        </w:rPr>
        <w:t xml:space="preserve">（类）行政事业单位医疗（款）其他行政事业单位医疗支出（项）: 指财政部门集中安排的行政单位基本医疗保险缴费经费。 </w:t>
      </w:r>
    </w:p>
    <w:p>
      <w:pPr>
        <w:spacing w:line="560" w:lineRule="exact"/>
        <w:ind w:firstLine="640" w:firstLineChars="200"/>
        <w:rPr>
          <w:rFonts w:hAnsi="Calibri" w:eastAsia="仿宋_GB2312"/>
          <w:color w:val="000000"/>
          <w:kern w:val="0"/>
          <w:sz w:val="32"/>
          <w:szCs w:val="32"/>
        </w:rPr>
      </w:pPr>
      <w:r>
        <w:rPr>
          <w:rFonts w:hint="eastAsia" w:hAnsi="Calibri" w:eastAsia="仿宋_GB2312"/>
          <w:color w:val="000000"/>
          <w:kern w:val="0"/>
          <w:sz w:val="32"/>
          <w:szCs w:val="32"/>
        </w:rPr>
        <w:t>20</w:t>
      </w:r>
      <w:r>
        <w:rPr>
          <w:rFonts w:hAnsi="Calibri" w:eastAsia="仿宋_GB2312"/>
          <w:color w:val="000000"/>
          <w:kern w:val="0"/>
          <w:sz w:val="32"/>
          <w:szCs w:val="32"/>
        </w:rPr>
        <w:t xml:space="preserve">. 住房保障支出（类）住房改革支出（款） 住房公积金（项）: 指按照相关政策规定比例为个人缴纳的住房公积金。 </w:t>
      </w:r>
    </w:p>
    <w:p>
      <w:pPr>
        <w:spacing w:line="560" w:lineRule="exact"/>
        <w:ind w:firstLine="640" w:firstLineChars="200"/>
        <w:rPr>
          <w:rFonts w:hAnsi="Calibri" w:eastAsia="仿宋_GB2312"/>
          <w:color w:val="000000"/>
          <w:kern w:val="0"/>
          <w:sz w:val="32"/>
          <w:szCs w:val="32"/>
        </w:rPr>
      </w:pPr>
      <w:r>
        <w:rPr>
          <w:rFonts w:hAnsi="Calibri" w:eastAsia="仿宋_GB2312"/>
          <w:color w:val="000000"/>
          <w:kern w:val="0"/>
          <w:sz w:val="32"/>
          <w:szCs w:val="32"/>
        </w:rPr>
        <w:t>2</w:t>
      </w:r>
      <w:r>
        <w:rPr>
          <w:rFonts w:hint="eastAsia" w:hAnsi="Calibri" w:eastAsia="仿宋_GB2312"/>
          <w:color w:val="000000"/>
          <w:kern w:val="0"/>
          <w:sz w:val="32"/>
          <w:szCs w:val="32"/>
        </w:rPr>
        <w:t>1</w:t>
      </w:r>
      <w:r>
        <w:rPr>
          <w:rFonts w:hAnsi="Calibri" w:eastAsia="仿宋_GB2312"/>
          <w:color w:val="000000"/>
          <w:kern w:val="0"/>
          <w:sz w:val="32"/>
          <w:szCs w:val="32"/>
        </w:rPr>
        <w:t>.基本支出：指为保障机构正常运转、完成日常工作任务而发生的人员支出和公用支出。</w:t>
      </w:r>
    </w:p>
    <w:p>
      <w:pPr>
        <w:spacing w:line="560" w:lineRule="exact"/>
        <w:ind w:firstLine="640" w:firstLineChars="200"/>
        <w:rPr>
          <w:rFonts w:hAnsi="Calibri" w:eastAsia="仿宋_GB2312"/>
          <w:color w:val="000000"/>
          <w:kern w:val="0"/>
          <w:sz w:val="32"/>
          <w:szCs w:val="32"/>
        </w:rPr>
      </w:pPr>
      <w:r>
        <w:rPr>
          <w:rFonts w:hAnsi="Calibri" w:eastAsia="仿宋_GB2312"/>
          <w:color w:val="000000"/>
          <w:kern w:val="0"/>
          <w:sz w:val="32"/>
          <w:szCs w:val="32"/>
        </w:rPr>
        <w:t>2</w:t>
      </w:r>
      <w:r>
        <w:rPr>
          <w:rFonts w:hint="eastAsia" w:hAnsi="Calibri" w:eastAsia="仿宋_GB2312"/>
          <w:color w:val="000000"/>
          <w:kern w:val="0"/>
          <w:sz w:val="32"/>
          <w:szCs w:val="32"/>
        </w:rPr>
        <w:t>2</w:t>
      </w:r>
      <w:r>
        <w:rPr>
          <w:rFonts w:hAnsi="Calibri" w:eastAsia="仿宋_GB2312"/>
          <w:color w:val="000000"/>
          <w:kern w:val="0"/>
          <w:sz w:val="32"/>
          <w:szCs w:val="32"/>
        </w:rPr>
        <w:t xml:space="preserve">.项目支出：指在基本支出之外为完成特定行政任务和事业发展目标所发生的支出。 </w:t>
      </w:r>
    </w:p>
    <w:p>
      <w:pPr>
        <w:spacing w:line="560" w:lineRule="exact"/>
        <w:ind w:firstLine="640" w:firstLineChars="200"/>
        <w:rPr>
          <w:rFonts w:hAnsi="Calibri" w:eastAsia="仿宋_GB2312"/>
          <w:color w:val="000000"/>
          <w:kern w:val="0"/>
          <w:sz w:val="32"/>
          <w:szCs w:val="32"/>
        </w:rPr>
      </w:pPr>
      <w:r>
        <w:rPr>
          <w:rFonts w:hAnsi="Calibri" w:eastAsia="仿宋_GB2312"/>
          <w:color w:val="000000"/>
          <w:kern w:val="0"/>
          <w:sz w:val="32"/>
          <w:szCs w:val="32"/>
        </w:rPr>
        <w:t>2</w:t>
      </w:r>
      <w:r>
        <w:rPr>
          <w:rFonts w:hint="eastAsia" w:hAnsi="Calibri" w:eastAsia="仿宋_GB2312"/>
          <w:color w:val="000000"/>
          <w:kern w:val="0"/>
          <w:sz w:val="32"/>
          <w:szCs w:val="32"/>
        </w:rPr>
        <w:t>3.</w:t>
      </w:r>
      <w:r>
        <w:rPr>
          <w:rFonts w:hAnsi="Calibri" w:eastAsia="仿宋_GB2312"/>
          <w:color w:val="000000"/>
          <w:kern w:val="0"/>
          <w:sz w:val="32"/>
          <w:szCs w:val="32"/>
        </w:rPr>
        <w:t>经营支出：指事业单位在专业业务活动及其辅助活动之外开展非独立核算经营活动发生的支出。</w:t>
      </w:r>
    </w:p>
    <w:p>
      <w:pPr>
        <w:pStyle w:val="29"/>
        <w:spacing w:line="560" w:lineRule="exact"/>
        <w:ind w:firstLine="640" w:firstLineChars="200"/>
        <w:jc w:val="both"/>
        <w:rPr>
          <w:rFonts w:ascii="Times New Roman" w:eastAsia="仿宋_GB2312" w:cs="Times New Roman"/>
          <w:sz w:val="32"/>
          <w:szCs w:val="32"/>
        </w:rPr>
      </w:pPr>
      <w:r>
        <w:rPr>
          <w:rFonts w:ascii="Times New Roman" w:eastAsia="仿宋_GB2312" w:cs="Times New Roman"/>
          <w:sz w:val="32"/>
          <w:szCs w:val="32"/>
        </w:rPr>
        <w:t>2</w:t>
      </w:r>
      <w:r>
        <w:rPr>
          <w:rFonts w:hint="eastAsia" w:ascii="Times New Roman" w:eastAsia="仿宋_GB2312" w:cs="Times New Roman"/>
          <w:sz w:val="32"/>
          <w:szCs w:val="32"/>
        </w:rPr>
        <w:t>4</w:t>
      </w:r>
      <w:r>
        <w:rPr>
          <w:rFonts w:ascii="Times New Roman" w:eastAsia="仿宋_GB2312" w:cs="Times New Roman"/>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9"/>
        <w:spacing w:line="560" w:lineRule="exact"/>
        <w:ind w:firstLine="640" w:firstLineChars="200"/>
        <w:jc w:val="both"/>
        <w:rPr>
          <w:rFonts w:ascii="Times New Roman" w:eastAsia="仿宋_GB2312" w:cs="Times New Roman"/>
          <w:sz w:val="32"/>
          <w:szCs w:val="32"/>
        </w:rPr>
      </w:pPr>
      <w:r>
        <w:rPr>
          <w:rFonts w:ascii="Times New Roman" w:eastAsia="仿宋_GB2312" w:cs="Times New Roman"/>
          <w:sz w:val="32"/>
          <w:szCs w:val="32"/>
        </w:rPr>
        <w:t>2</w:t>
      </w:r>
      <w:r>
        <w:rPr>
          <w:rFonts w:hint="eastAsia" w:ascii="Times New Roman" w:eastAsia="仿宋_GB2312" w:cs="Times New Roman"/>
          <w:sz w:val="32"/>
          <w:szCs w:val="32"/>
        </w:rPr>
        <w:t>5</w:t>
      </w:r>
      <w:r>
        <w:rPr>
          <w:rFonts w:ascii="Times New Roman" w:eastAsia="仿宋_GB2312"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jc w:val="center"/>
        <w:rPr>
          <w:rStyle w:val="31"/>
          <w:rFonts w:ascii="黑体" w:hAnsi="黑体" w:eastAsia="黑体"/>
          <w:b w:val="0"/>
        </w:rPr>
      </w:pPr>
      <w:bookmarkStart w:id="57" w:name="_Toc15377226"/>
      <w:r>
        <w:rPr>
          <w:rFonts w:hAnsi="Calibri" w:eastAsia="仿宋_GB2312"/>
          <w:color w:val="000000"/>
          <w:kern w:val="0"/>
          <w:sz w:val="32"/>
          <w:szCs w:val="32"/>
        </w:rPr>
        <w:br w:type="page"/>
      </w:r>
      <w:bookmarkStart w:id="58" w:name="_Toc15396614"/>
      <w:r>
        <w:rPr>
          <w:rFonts w:hint="eastAsia" w:ascii="黑体" w:hAnsi="黑体" w:eastAsia="黑体"/>
          <w:sz w:val="44"/>
          <w:szCs w:val="44"/>
        </w:rPr>
        <w:t>第</w:t>
      </w:r>
      <w:r>
        <w:rPr>
          <w:rStyle w:val="31"/>
          <w:rFonts w:hint="eastAsia" w:ascii="黑体" w:hAnsi="黑体" w:eastAsia="黑体"/>
          <w:b w:val="0"/>
        </w:rPr>
        <w:t>四部分 附件</w:t>
      </w:r>
      <w:bookmarkEnd w:id="58"/>
    </w:p>
    <w:p>
      <w:pPr>
        <w:pStyle w:val="2"/>
      </w:pPr>
    </w:p>
    <w:p>
      <w:pPr>
        <w:widowControl/>
        <w:spacing w:line="560" w:lineRule="exact"/>
        <w:contextualSpacing/>
        <w:jc w:val="center"/>
        <w:rPr>
          <w:rFonts w:ascii="黑体" w:hAnsi="黑体" w:eastAsia="黑体" w:cs="黑体"/>
          <w:sz w:val="32"/>
          <w:szCs w:val="32"/>
        </w:rPr>
      </w:pPr>
    </w:p>
    <w:p>
      <w:pPr>
        <w:widowControl/>
        <w:spacing w:line="560" w:lineRule="exact"/>
        <w:contextualSpacing/>
        <w:jc w:val="center"/>
        <w:rPr>
          <w:rFonts w:eastAsia="方正小标宋简体"/>
          <w:color w:val="000000"/>
          <w:sz w:val="44"/>
          <w:szCs w:val="44"/>
        </w:rPr>
      </w:pPr>
      <w:r>
        <w:rPr>
          <w:rFonts w:hint="eastAsia" w:eastAsia="方正小标宋简体"/>
          <w:color w:val="000000"/>
          <w:sz w:val="44"/>
          <w:szCs w:val="44"/>
        </w:rPr>
        <w:t>2022年中共</w:t>
      </w:r>
      <w:r>
        <w:rPr>
          <w:rFonts w:eastAsia="方正小标宋简体"/>
          <w:color w:val="000000"/>
          <w:sz w:val="44"/>
          <w:szCs w:val="44"/>
        </w:rPr>
        <w:t>宜宾市委政法委员会政法委员会</w:t>
      </w:r>
      <w:r>
        <w:rPr>
          <w:rFonts w:hint="eastAsia" w:eastAsia="方正小标宋简体"/>
          <w:color w:val="000000"/>
          <w:sz w:val="44"/>
          <w:szCs w:val="44"/>
        </w:rPr>
        <w:t>整体绩效评价报告</w:t>
      </w:r>
    </w:p>
    <w:p>
      <w:pPr>
        <w:widowControl/>
        <w:adjustRightInd w:val="0"/>
        <w:snapToGrid w:val="0"/>
        <w:spacing w:line="560" w:lineRule="exact"/>
        <w:ind w:firstLine="480" w:firstLineChars="200"/>
        <w:contextualSpacing/>
        <w:rPr>
          <w:rFonts w:ascii="黑体" w:hAnsi="黑体" w:eastAsia="黑体" w:cs="宋体"/>
          <w:color w:val="000000"/>
          <w:kern w:val="0"/>
          <w:sz w:val="24"/>
          <w:szCs w:val="32"/>
          <w:shd w:val="clear" w:color="auto" w:fill="FFFFFF"/>
        </w:rPr>
      </w:pPr>
    </w:p>
    <w:p>
      <w:pPr>
        <w:widowControl/>
        <w:numPr>
          <w:ilvl w:val="0"/>
          <w:numId w:val="4"/>
        </w:numPr>
        <w:adjustRightInd w:val="0"/>
        <w:snapToGrid w:val="0"/>
        <w:spacing w:line="560" w:lineRule="exact"/>
        <w:ind w:firstLine="640" w:firstLineChars="200"/>
        <w:contextualSpacing/>
        <w:rPr>
          <w:rFonts w:ascii="黑体" w:hAnsi="黑体" w:eastAsia="黑体" w:cs="宋体"/>
          <w:color w:val="000000"/>
          <w:kern w:val="0"/>
          <w:sz w:val="32"/>
          <w:szCs w:val="32"/>
          <w:shd w:val="clear" w:color="auto" w:fill="FFFFFF"/>
          <w:lang w:val="zh-CN"/>
        </w:rPr>
      </w:pPr>
      <w:r>
        <w:rPr>
          <w:rFonts w:hint="eastAsia" w:ascii="黑体" w:hAnsi="黑体" w:eastAsia="黑体" w:cs="宋体"/>
          <w:color w:val="000000"/>
          <w:kern w:val="0"/>
          <w:sz w:val="32"/>
          <w:szCs w:val="32"/>
          <w:shd w:val="clear" w:color="auto" w:fill="FFFFFF"/>
          <w:lang w:val="zh-CN"/>
        </w:rPr>
        <w:t>部门（单位）基本情况</w:t>
      </w:r>
    </w:p>
    <w:p>
      <w:pPr>
        <w:widowControl/>
        <w:numPr>
          <w:ilvl w:val="0"/>
          <w:numId w:val="5"/>
        </w:numPr>
        <w:adjustRightInd w:val="0"/>
        <w:snapToGrid w:val="0"/>
        <w:spacing w:line="560" w:lineRule="exact"/>
        <w:ind w:firstLine="640" w:firstLineChars="200"/>
        <w:contextualSpacing/>
        <w:rPr>
          <w:rFonts w:ascii="楷体_GB2312" w:hAnsi="楷体_GB2312" w:eastAsia="楷体_GB2312" w:cs="楷体_GB2312"/>
          <w:bCs/>
          <w:color w:val="000000"/>
          <w:kern w:val="0"/>
          <w:sz w:val="32"/>
          <w:szCs w:val="32"/>
          <w:shd w:val="clear" w:color="auto" w:fill="FFFFFF"/>
          <w:lang w:val="zh-CN"/>
        </w:rPr>
      </w:pPr>
      <w:r>
        <w:rPr>
          <w:rFonts w:hint="eastAsia" w:ascii="楷体_GB2312" w:hAnsi="楷体_GB2312" w:eastAsia="楷体_GB2312" w:cs="楷体_GB2312"/>
          <w:bCs/>
          <w:color w:val="000000"/>
          <w:kern w:val="0"/>
          <w:sz w:val="32"/>
          <w:szCs w:val="32"/>
          <w:shd w:val="clear" w:color="auto" w:fill="FFFFFF"/>
          <w:lang w:val="zh-CN"/>
        </w:rPr>
        <w:t>机构组成。</w:t>
      </w:r>
    </w:p>
    <w:p>
      <w:pPr>
        <w:widowControl/>
        <w:adjustRightInd w:val="0"/>
        <w:snapToGrid w:val="0"/>
        <w:spacing w:line="560" w:lineRule="exact"/>
        <w:ind w:firstLine="640" w:firstLineChars="200"/>
        <w:contextualSpacing/>
        <w:rPr>
          <w:rFonts w:ascii="仿宋_GB2312" w:hAnsi="楷体_GB2312" w:eastAsia="仿宋_GB2312" w:cs="楷体_GB2312"/>
          <w:b/>
          <w:bCs/>
          <w:color w:val="000000"/>
          <w:kern w:val="0"/>
          <w:sz w:val="32"/>
          <w:szCs w:val="32"/>
          <w:shd w:val="clear" w:color="auto" w:fill="FFFFFF"/>
          <w:lang w:val="zh-CN"/>
        </w:rPr>
      </w:pPr>
      <w:r>
        <w:rPr>
          <w:rFonts w:hint="eastAsia" w:ascii="仿宋_GB2312" w:eastAsia="仿宋_GB2312"/>
          <w:sz w:val="32"/>
          <w:szCs w:val="32"/>
          <w:shd w:val="clear" w:color="auto" w:fill="FFFFFF"/>
        </w:rPr>
        <w:t>中国共产党宜宾市委员会政法委员会无下属二级预算单位。</w:t>
      </w:r>
    </w:p>
    <w:p>
      <w:pPr>
        <w:widowControl/>
        <w:adjustRightInd w:val="0"/>
        <w:snapToGrid w:val="0"/>
        <w:spacing w:line="560" w:lineRule="exact"/>
        <w:ind w:left="640"/>
        <w:contextualSpacing/>
        <w:rPr>
          <w:rFonts w:ascii="楷体_GB2312" w:hAnsi="楷体_GB2312" w:eastAsia="楷体_GB2312" w:cs="楷体_GB2312"/>
          <w:bCs/>
          <w:color w:val="000000"/>
          <w:kern w:val="0"/>
          <w:sz w:val="32"/>
          <w:szCs w:val="32"/>
          <w:shd w:val="clear" w:color="auto" w:fill="FFFFFF"/>
          <w:lang w:val="zh-CN"/>
        </w:rPr>
      </w:pPr>
      <w:r>
        <w:rPr>
          <w:rFonts w:hint="eastAsia" w:ascii="楷体_GB2312" w:hAnsi="楷体_GB2312" w:eastAsia="楷体_GB2312" w:cs="楷体_GB2312"/>
          <w:bCs/>
          <w:color w:val="000000"/>
          <w:kern w:val="0"/>
          <w:sz w:val="32"/>
          <w:szCs w:val="32"/>
          <w:shd w:val="clear" w:color="auto" w:fill="FFFFFF"/>
          <w:lang w:val="zh-CN"/>
        </w:rPr>
        <w:t>（二）机构职能和人员概况。</w:t>
      </w:r>
    </w:p>
    <w:p>
      <w:pPr>
        <w:snapToGrid w:val="0"/>
        <w:spacing w:line="560" w:lineRule="exact"/>
        <w:ind w:firstLine="640"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lang w:val="zh-CN"/>
        </w:rPr>
        <w:t>市委政法委是市委领导政法工作的职能部门。在市委的统一领导下，对政法工作研究提出全局性部署，推进平安宜宾、法治宜宾建设，</w:t>
      </w:r>
      <w:r>
        <w:rPr>
          <w:rFonts w:hint="eastAsia" w:ascii="仿宋_GB2312" w:eastAsia="仿宋_GB2312"/>
          <w:sz w:val="32"/>
          <w:szCs w:val="32"/>
          <w:shd w:val="clear" w:color="auto" w:fill="FFFFFF"/>
        </w:rPr>
        <w:t>加强过硬队伍建设，深化智能化建设，坚决卫华国家政治安全、确保社会大局稳定、促进社会公平正义、保障人民安居乐业。2022年度我委实有34人，其中行政人员24人，事业人员8人，机关工勤2人。</w:t>
      </w:r>
    </w:p>
    <w:p>
      <w:pPr>
        <w:spacing w:line="560" w:lineRule="exact"/>
        <w:ind w:firstLine="640" w:firstLineChars="200"/>
        <w:rPr>
          <w:rFonts w:ascii="楷体_GB2312" w:hAnsi="楷体_GB2312" w:eastAsia="楷体_GB2312" w:cs="楷体_GB2312"/>
          <w:bCs/>
          <w:color w:val="000000"/>
          <w:kern w:val="0"/>
          <w:sz w:val="32"/>
          <w:szCs w:val="32"/>
          <w:shd w:val="clear" w:color="auto" w:fill="FFFFFF"/>
          <w:lang w:val="zh-CN"/>
        </w:rPr>
      </w:pPr>
      <w:r>
        <w:rPr>
          <w:rFonts w:hint="eastAsia" w:ascii="楷体_GB2312" w:hAnsi="楷体_GB2312" w:eastAsia="楷体_GB2312" w:cs="楷体_GB2312"/>
          <w:bCs/>
          <w:color w:val="000000"/>
          <w:kern w:val="0"/>
          <w:sz w:val="32"/>
          <w:szCs w:val="32"/>
          <w:shd w:val="clear" w:color="auto" w:fill="FFFFFF"/>
          <w:lang w:val="zh-CN"/>
        </w:rPr>
        <w:t>（三）年度主要工作任务。</w:t>
      </w:r>
    </w:p>
    <w:p>
      <w:pPr>
        <w:spacing w:line="560" w:lineRule="exact"/>
        <w:ind w:firstLine="640" w:firstLineChars="200"/>
        <w:rPr>
          <w:rFonts w:ascii="仿宋_GB2312" w:eastAsia="仿宋_GB2312"/>
          <w:sz w:val="32"/>
          <w:szCs w:val="32"/>
        </w:rPr>
      </w:pPr>
      <w:r>
        <w:rPr>
          <w:rFonts w:hint="eastAsia" w:ascii="仿宋_GB2312" w:eastAsia="仿宋_GB2312"/>
          <w:sz w:val="32"/>
          <w:szCs w:val="32"/>
          <w:shd w:val="clear" w:color="auto" w:fill="FFFFFF"/>
        </w:rPr>
        <w:t>2022年，市委政法委围绕防范风险护稳定，着力防范化解国家安全风险，着力防范化解重大矛盾风险，着力防范化解公共安全风险，以宜宾的安全稳定迎接党的二十大、省第十二次党代会胜利召开。聚焦基层强基础，建强基础设施，强化社会治理，强化队伍建设，为建设更高水平的法治宜宾、平安宜宾奠定稳固根基。提升质效促发展，提升质效促发展，促进社会治理水平提升。推进政法领域全面深化改革，促进执法司法质效提升。充分发挥法治规范引领作用，促进服务保障能力提升。为新时代政法工作向更高目标更高水平迈进注入强劲动力。全面实施“政法十项重点工作”“政法为民十件实事”，</w:t>
      </w:r>
      <w:r>
        <w:rPr>
          <w:rFonts w:hint="eastAsia" w:ascii="仿宋_GB2312" w:hAnsi="仿宋_GB2312" w:eastAsia="仿宋_GB2312" w:cs="仿宋_GB2312"/>
          <w:sz w:val="32"/>
          <w:szCs w:val="32"/>
        </w:rPr>
        <w:t>勇担使命、忠诚履职，为宜宾加快建成社会主义现代化的国家区域中心城市、在全面建设社会主义现代化四川中展现更大作为提供坚强政法保障。</w:t>
      </w:r>
    </w:p>
    <w:p>
      <w:pPr>
        <w:widowControl/>
        <w:numPr>
          <w:ilvl w:val="0"/>
          <w:numId w:val="6"/>
        </w:numPr>
        <w:adjustRightInd w:val="0"/>
        <w:snapToGrid w:val="0"/>
        <w:spacing w:line="560" w:lineRule="exact"/>
        <w:ind w:firstLine="640" w:firstLineChars="200"/>
        <w:contextualSpacing/>
        <w:rPr>
          <w:rFonts w:ascii="楷体_GB2312" w:hAnsi="楷体_GB2312" w:eastAsia="楷体_GB2312" w:cs="楷体_GB2312"/>
          <w:bCs/>
          <w:color w:val="000000"/>
          <w:kern w:val="0"/>
          <w:sz w:val="32"/>
          <w:szCs w:val="32"/>
          <w:shd w:val="clear" w:color="auto" w:fill="FFFFFF"/>
          <w:lang w:val="zh-CN"/>
        </w:rPr>
      </w:pPr>
      <w:r>
        <w:rPr>
          <w:rFonts w:hint="eastAsia" w:ascii="楷体_GB2312" w:hAnsi="楷体_GB2312" w:eastAsia="楷体_GB2312" w:cs="楷体_GB2312"/>
          <w:bCs/>
          <w:color w:val="000000"/>
          <w:kern w:val="0"/>
          <w:sz w:val="32"/>
          <w:szCs w:val="32"/>
          <w:shd w:val="clear" w:color="auto" w:fill="FFFFFF"/>
          <w:lang w:val="zh-CN"/>
        </w:rPr>
        <w:t>部门整体支出绩效目标。</w:t>
      </w:r>
    </w:p>
    <w:p>
      <w:pPr>
        <w:widowControl/>
        <w:adjustRightInd w:val="0"/>
        <w:snapToGrid w:val="0"/>
        <w:spacing w:line="560" w:lineRule="exact"/>
        <w:ind w:firstLine="640" w:firstLineChars="200"/>
        <w:contextualSpacing/>
        <w:rPr>
          <w:rFonts w:ascii="仿宋_GB2312" w:eastAsia="仿宋_GB2312"/>
          <w:sz w:val="32"/>
          <w:szCs w:val="32"/>
          <w:highlight w:val="yellow"/>
          <w:lang w:val="zh-CN"/>
        </w:rPr>
      </w:pPr>
      <w:r>
        <w:rPr>
          <w:rFonts w:hint="eastAsia" w:ascii="仿宋_GB2312" w:hAnsi="仿宋_GB2312" w:eastAsia="仿宋_GB2312" w:cs="仿宋_GB2312"/>
          <w:sz w:val="32"/>
          <w:szCs w:val="32"/>
          <w:lang w:val="zh-CN"/>
        </w:rPr>
        <w:t>在市委的统一领导下，统筹协调维护政治安全、社会治安综合治理、维护社会稳定等工作，指导推动大案要案查处，加强执法监督，组织开展政法宣传和舆论引导，深化政法改革，推进平安宜宾、法治宜宾建设，加强过硬队伍建设，深化智能化建设，协同市级有关职能部门管理监督政法领导干部，组织开展政法领域的调查研究。</w:t>
      </w:r>
    </w:p>
    <w:p>
      <w:pPr>
        <w:widowControl/>
        <w:adjustRightInd w:val="0"/>
        <w:snapToGrid w:val="0"/>
        <w:spacing w:line="560" w:lineRule="exact"/>
        <w:ind w:firstLine="640" w:firstLineChars="200"/>
        <w:contextualSpacing/>
        <w:rPr>
          <w:rFonts w:ascii="黑体" w:hAnsi="黑体" w:eastAsia="黑体" w:cs="宋体"/>
          <w:color w:val="000000"/>
          <w:kern w:val="0"/>
          <w:sz w:val="32"/>
          <w:szCs w:val="32"/>
          <w:shd w:val="clear" w:color="auto" w:fill="FFFFFF"/>
        </w:rPr>
      </w:pPr>
      <w:r>
        <w:rPr>
          <w:rFonts w:hint="eastAsia" w:ascii="黑体" w:hAnsi="黑体" w:eastAsia="黑体" w:cs="宋体"/>
          <w:color w:val="000000"/>
          <w:kern w:val="0"/>
          <w:sz w:val="32"/>
          <w:szCs w:val="32"/>
          <w:shd w:val="clear" w:color="auto" w:fill="FFFFFF"/>
        </w:rPr>
        <w:t>二、部门资金收支情况</w:t>
      </w:r>
    </w:p>
    <w:p>
      <w:pPr>
        <w:widowControl/>
        <w:adjustRightInd w:val="0"/>
        <w:snapToGrid w:val="0"/>
        <w:spacing w:line="560" w:lineRule="exact"/>
        <w:ind w:left="640"/>
        <w:contextualSpacing/>
        <w:rPr>
          <w:rFonts w:ascii="楷体_GB2312" w:hAnsi="楷体_GB2312" w:eastAsia="楷体_GB2312" w:cs="楷体_GB2312"/>
          <w:bCs/>
          <w:color w:val="000000"/>
          <w:kern w:val="0"/>
          <w:sz w:val="32"/>
          <w:szCs w:val="32"/>
          <w:shd w:val="clear" w:color="auto" w:fill="FFFFFF"/>
          <w:lang w:val="zh-CN"/>
        </w:rPr>
      </w:pPr>
      <w:r>
        <w:rPr>
          <w:rFonts w:hint="eastAsia" w:ascii="楷体_GB2312" w:hAnsi="楷体_GB2312" w:eastAsia="楷体_GB2312" w:cs="楷体_GB2312"/>
          <w:bCs/>
          <w:color w:val="000000"/>
          <w:kern w:val="0"/>
          <w:sz w:val="32"/>
          <w:szCs w:val="32"/>
          <w:shd w:val="clear" w:color="auto" w:fill="FFFFFF"/>
          <w:lang w:val="zh-CN"/>
        </w:rPr>
        <w:t>（一）部门总体收支情况。</w:t>
      </w:r>
    </w:p>
    <w:p>
      <w:pPr>
        <w:widowControl/>
        <w:adjustRightInd w:val="0"/>
        <w:snapToGrid w:val="0"/>
        <w:spacing w:line="560" w:lineRule="exact"/>
        <w:ind w:firstLine="640" w:firstLineChars="200"/>
        <w:contextualSpacing/>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1.部门总体收入情况。</w:t>
      </w:r>
      <w:r>
        <w:rPr>
          <w:rFonts w:hint="eastAsia" w:ascii="仿宋_GB2312" w:eastAsia="仿宋_GB2312"/>
          <w:sz w:val="32"/>
          <w:szCs w:val="32"/>
        </w:rPr>
        <w:t>本年年初预算安排公共财政拨款收入3798.92万元，上年度结转结余0万元。</w:t>
      </w:r>
    </w:p>
    <w:p>
      <w:pPr>
        <w:snapToGrid w:val="0"/>
        <w:spacing w:line="560" w:lineRule="exact"/>
        <w:ind w:firstLine="640" w:firstLineChars="20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2.部门总体支出情况。</w:t>
      </w:r>
      <w:r>
        <w:rPr>
          <w:rFonts w:hint="eastAsia" w:ascii="仿宋_GB2312" w:eastAsia="仿宋_GB2312"/>
          <w:sz w:val="32"/>
          <w:szCs w:val="32"/>
        </w:rPr>
        <w:t>本年年初预算安排公共财政拨款收入3798.92万元，上年度结转结余0万元，相应安排支出3798.92万元，其中：一般公共服务支出1158.05万元,社会保障和就业支出42.78万元，卫生健康支出26.57万元，住房保障支出63.76万元。</w:t>
      </w:r>
    </w:p>
    <w:p>
      <w:pPr>
        <w:widowControl/>
        <w:adjustRightInd w:val="0"/>
        <w:snapToGrid w:val="0"/>
        <w:spacing w:line="560" w:lineRule="exact"/>
        <w:contextualSpacing/>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3.部门总体结转结余情况。</w:t>
      </w:r>
      <w:r>
        <w:rPr>
          <w:rFonts w:hint="eastAsia" w:ascii="仿宋_GB2312" w:eastAsia="仿宋_GB2312"/>
          <w:sz w:val="32"/>
          <w:szCs w:val="32"/>
        </w:rPr>
        <w:t>本年度结转结余0万元。</w:t>
      </w:r>
    </w:p>
    <w:p>
      <w:pPr>
        <w:widowControl/>
        <w:adjustRightInd w:val="0"/>
        <w:snapToGrid w:val="0"/>
        <w:spacing w:line="560" w:lineRule="exact"/>
        <w:ind w:firstLine="640" w:firstLineChars="200"/>
        <w:contextualSpacing/>
        <w:rPr>
          <w:rFonts w:ascii="楷体_GB2312" w:hAnsi="楷体_GB2312" w:eastAsia="楷体_GB2312" w:cs="楷体_GB2312"/>
          <w:bCs/>
          <w:color w:val="000000"/>
          <w:kern w:val="0"/>
          <w:sz w:val="32"/>
          <w:szCs w:val="32"/>
          <w:shd w:val="clear" w:color="auto" w:fill="FFFFFF"/>
          <w:lang w:val="zh-CN"/>
        </w:rPr>
      </w:pPr>
      <w:r>
        <w:rPr>
          <w:rFonts w:hint="eastAsia" w:ascii="楷体_GB2312" w:hAnsi="楷体_GB2312" w:eastAsia="楷体_GB2312" w:cs="楷体_GB2312"/>
          <w:bCs/>
          <w:color w:val="000000"/>
          <w:kern w:val="0"/>
          <w:sz w:val="32"/>
          <w:szCs w:val="32"/>
          <w:shd w:val="clear" w:color="auto" w:fill="FFFFFF"/>
          <w:lang w:val="zh-CN"/>
        </w:rPr>
        <w:t>（二）部门财政拨款收支情况。</w:t>
      </w:r>
    </w:p>
    <w:p>
      <w:pPr>
        <w:widowControl/>
        <w:adjustRightInd w:val="0"/>
        <w:snapToGrid w:val="0"/>
        <w:spacing w:line="560" w:lineRule="exact"/>
        <w:ind w:firstLine="640" w:firstLineChars="200"/>
        <w:contextualSpacing/>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1.部门财政拨款收入情况。</w:t>
      </w:r>
      <w:r>
        <w:rPr>
          <w:rFonts w:hint="eastAsia" w:ascii="仿宋_GB2312" w:eastAsia="仿宋_GB2312"/>
          <w:sz w:val="32"/>
          <w:szCs w:val="32"/>
        </w:rPr>
        <w:t>本年年初预算安排公共财政拨款收入3798.92万元，上年度结转结余0万元。</w:t>
      </w:r>
    </w:p>
    <w:p>
      <w:pPr>
        <w:snapToGrid w:val="0"/>
        <w:spacing w:line="560" w:lineRule="exact"/>
        <w:ind w:firstLine="640" w:firstLineChars="20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2.部门财政拨款支出情况。</w:t>
      </w:r>
      <w:r>
        <w:rPr>
          <w:rFonts w:hint="eastAsia" w:ascii="仿宋_GB2312" w:eastAsia="仿宋_GB2312"/>
          <w:sz w:val="32"/>
          <w:szCs w:val="32"/>
        </w:rPr>
        <w:t>本年年初预算安排公共财政拨款</w:t>
      </w:r>
      <w:r>
        <w:rPr>
          <w:rFonts w:hint="eastAsia" w:ascii="仿宋_GB2312" w:hAnsi="仿宋_GB2312" w:eastAsia="仿宋_GB2312" w:cs="仿宋_GB2312"/>
          <w:color w:val="000000"/>
          <w:kern w:val="0"/>
          <w:sz w:val="32"/>
          <w:szCs w:val="32"/>
          <w:shd w:val="clear" w:color="auto" w:fill="FFFFFF"/>
        </w:rPr>
        <w:t>收入3798.92万元，上年度结转结余0万元，相应安排支出3798.92万元，其中：一般公共服务支出1158.05万元,社会保障和就业支出42.78万元，卫生健康支出26.57万元，住房保障支出63.76万元。</w:t>
      </w:r>
    </w:p>
    <w:p>
      <w:pPr>
        <w:widowControl/>
        <w:numPr>
          <w:ilvl w:val="0"/>
          <w:numId w:val="7"/>
        </w:numPr>
        <w:adjustRightInd w:val="0"/>
        <w:snapToGrid w:val="0"/>
        <w:spacing w:line="560" w:lineRule="exact"/>
        <w:ind w:firstLine="640" w:firstLineChars="200"/>
        <w:contextualSpacing/>
        <w:rPr>
          <w:rFonts w:ascii="仿宋_GB2312" w:eastAsia="仿宋_GB2312"/>
          <w:sz w:val="32"/>
          <w:szCs w:val="32"/>
        </w:rPr>
      </w:pPr>
      <w:r>
        <w:rPr>
          <w:rFonts w:hint="eastAsia" w:ascii="仿宋_GB2312" w:hAnsi="仿宋_GB2312" w:eastAsia="仿宋_GB2312" w:cs="仿宋_GB2312"/>
          <w:color w:val="000000"/>
          <w:kern w:val="0"/>
          <w:sz w:val="32"/>
          <w:szCs w:val="32"/>
          <w:shd w:val="clear" w:color="auto" w:fill="FFFFFF"/>
        </w:rPr>
        <w:t>部门财政拨款结转结余情况。</w:t>
      </w:r>
      <w:r>
        <w:rPr>
          <w:rFonts w:hint="eastAsia" w:ascii="仿宋_GB2312" w:eastAsia="仿宋_GB2312"/>
          <w:sz w:val="32"/>
          <w:szCs w:val="32"/>
        </w:rPr>
        <w:t>本年度结转结余0万元。</w:t>
      </w:r>
    </w:p>
    <w:p>
      <w:pPr>
        <w:widowControl/>
        <w:adjustRightInd w:val="0"/>
        <w:snapToGrid w:val="0"/>
        <w:spacing w:line="560" w:lineRule="exact"/>
        <w:ind w:firstLine="640" w:firstLineChars="200"/>
        <w:contextualSpacing/>
        <w:rPr>
          <w:rFonts w:ascii="黑体" w:hAnsi="黑体" w:eastAsia="黑体" w:cs="宋体"/>
          <w:color w:val="000000" w:themeColor="text1"/>
          <w:kern w:val="0"/>
          <w:sz w:val="32"/>
          <w:szCs w:val="32"/>
          <w:shd w:val="clear" w:color="auto" w:fill="FFFFFF"/>
        </w:rPr>
      </w:pPr>
      <w:r>
        <w:rPr>
          <w:rFonts w:hint="eastAsia" w:ascii="黑体" w:hAnsi="黑体" w:eastAsia="黑体" w:cs="宋体"/>
          <w:color w:val="000000"/>
          <w:kern w:val="0"/>
          <w:sz w:val="32"/>
          <w:szCs w:val="32"/>
          <w:shd w:val="clear" w:color="auto" w:fill="FFFFFF"/>
        </w:rPr>
        <w:t>三、部门整体绩效分析</w:t>
      </w:r>
    </w:p>
    <w:p>
      <w:pPr>
        <w:widowControl/>
        <w:adjustRightInd w:val="0"/>
        <w:snapToGrid w:val="0"/>
        <w:spacing w:line="560" w:lineRule="exact"/>
        <w:ind w:firstLine="640" w:firstLineChars="200"/>
        <w:contextualSpacing/>
        <w:rPr>
          <w:rFonts w:ascii="楷体_GB2312" w:hAnsi="楷体_GB2312" w:eastAsia="楷体_GB2312" w:cs="楷体_GB2312"/>
          <w:bCs/>
          <w:color w:val="000000"/>
          <w:kern w:val="0"/>
          <w:sz w:val="32"/>
          <w:szCs w:val="32"/>
          <w:shd w:val="clear" w:color="auto" w:fill="FFFFFF"/>
          <w:lang w:val="zh-CN"/>
        </w:rPr>
      </w:pPr>
      <w:r>
        <w:rPr>
          <w:rFonts w:hint="eastAsia" w:ascii="楷体_GB2312" w:hAnsi="楷体_GB2312" w:eastAsia="楷体_GB2312" w:cs="楷体_GB2312"/>
          <w:bCs/>
          <w:color w:val="000000"/>
          <w:kern w:val="0"/>
          <w:sz w:val="32"/>
          <w:szCs w:val="32"/>
          <w:shd w:val="clear" w:color="auto" w:fill="FFFFFF"/>
          <w:lang w:val="zh-CN"/>
        </w:rPr>
        <w:t>（一）部门预算项目绩效分析。</w:t>
      </w:r>
    </w:p>
    <w:p>
      <w:pPr>
        <w:widowControl/>
        <w:adjustRightInd w:val="0"/>
        <w:snapToGrid w:val="0"/>
        <w:spacing w:line="560" w:lineRule="exact"/>
        <w:ind w:firstLine="640" w:firstLineChars="200"/>
        <w:contextualSpacing/>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rPr>
        <w:t>1.人员类项目绩效分析。</w:t>
      </w:r>
      <w:r>
        <w:rPr>
          <w:rFonts w:hint="eastAsia" w:ascii="仿宋_GB2312" w:hAnsi="宋体" w:eastAsia="仿宋_GB2312" w:cs="宋体"/>
          <w:color w:val="000000"/>
          <w:kern w:val="0"/>
          <w:sz w:val="32"/>
          <w:szCs w:val="32"/>
          <w:shd w:val="clear" w:color="auto" w:fill="FFFFFF"/>
          <w:lang w:val="zh-CN"/>
        </w:rPr>
        <w:t>人员类预算资金744.88万元，主要用于市委政法委机关公务员、工勤人员、事业人员、编外聘用人员工资、保险、公积金等支出，执行进度100%，预算完成率100%，有效地维持本单位工作正常运转，实现既定目标、完成预算支出，无资金结余及违规记录。</w:t>
      </w:r>
    </w:p>
    <w:p>
      <w:pPr>
        <w:widowControl/>
        <w:adjustRightInd w:val="0"/>
        <w:snapToGrid w:val="0"/>
        <w:spacing w:line="560" w:lineRule="exact"/>
        <w:ind w:firstLine="640" w:firstLineChars="200"/>
        <w:contextualSpacing/>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rPr>
        <w:t>2.运转类项目绩效分析。公用经费预算资金80.22万元，主要用于市委政法委日常办公费、差旅费、邮电费、维修费等。</w:t>
      </w:r>
      <w:r>
        <w:rPr>
          <w:rFonts w:hint="eastAsia" w:ascii="仿宋_GB2312" w:hAnsi="宋体" w:eastAsia="仿宋_GB2312" w:cs="宋体"/>
          <w:color w:val="000000"/>
          <w:kern w:val="0"/>
          <w:sz w:val="32"/>
          <w:szCs w:val="32"/>
          <w:shd w:val="clear" w:color="auto" w:fill="FFFFFF"/>
          <w:lang w:val="zh-CN"/>
        </w:rPr>
        <w:t>执行进度100%，预算完成率100%，有效地维持本单位工作正常运转，实现既定目标、完成预算支出，无资金结余及违规记录。</w:t>
      </w:r>
    </w:p>
    <w:p>
      <w:pPr>
        <w:widowControl/>
        <w:adjustRightInd w:val="0"/>
        <w:snapToGrid w:val="0"/>
        <w:spacing w:line="560" w:lineRule="exact"/>
        <w:ind w:firstLine="640" w:firstLineChars="200"/>
        <w:contextualSpacing/>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3.特定目标类项目绩效分析。项目预算资金2973.81万元，主要用于维护社会稳定、社会管理综合治理、政法三级网建设等方面。</w:t>
      </w:r>
      <w:r>
        <w:rPr>
          <w:rFonts w:hint="eastAsia" w:ascii="仿宋_GB2312" w:hAnsi="宋体" w:eastAsia="仿宋_GB2312" w:cs="宋体"/>
          <w:color w:val="000000"/>
          <w:kern w:val="0"/>
          <w:sz w:val="32"/>
          <w:szCs w:val="32"/>
          <w:shd w:val="clear" w:color="auto" w:fill="FFFFFF"/>
          <w:lang w:val="zh-CN"/>
        </w:rPr>
        <w:t>执行进度100%，预算完成率100%，有效地维持本单位工作正常运转，实现既定目标、完成预算支出，无资金结余及违规记录。</w:t>
      </w:r>
    </w:p>
    <w:p>
      <w:pPr>
        <w:widowControl/>
        <w:adjustRightInd w:val="0"/>
        <w:snapToGrid w:val="0"/>
        <w:spacing w:line="560" w:lineRule="exact"/>
        <w:ind w:firstLine="640" w:firstLineChars="200"/>
        <w:contextualSpacing/>
        <w:rPr>
          <w:rFonts w:ascii="楷体_GB2312" w:hAnsi="楷体_GB2312" w:eastAsia="楷体_GB2312" w:cs="楷体_GB2312"/>
          <w:bCs/>
          <w:color w:val="000000"/>
          <w:kern w:val="0"/>
          <w:sz w:val="32"/>
          <w:szCs w:val="32"/>
          <w:shd w:val="clear" w:color="auto" w:fill="FFFFFF"/>
          <w:lang w:val="zh-CN"/>
        </w:rPr>
      </w:pPr>
      <w:r>
        <w:rPr>
          <w:rFonts w:hint="eastAsia" w:ascii="楷体_GB2312" w:hAnsi="楷体_GB2312" w:eastAsia="楷体_GB2312" w:cs="楷体_GB2312"/>
          <w:bCs/>
          <w:color w:val="000000"/>
          <w:kern w:val="0"/>
          <w:sz w:val="32"/>
          <w:szCs w:val="32"/>
          <w:shd w:val="clear" w:color="auto" w:fill="FFFFFF"/>
          <w:lang w:val="zh-CN"/>
        </w:rPr>
        <w:t>（二）部门整体履职绩效分析。</w:t>
      </w:r>
    </w:p>
    <w:p>
      <w:pPr>
        <w:spacing w:line="560" w:lineRule="exact"/>
        <w:ind w:firstLine="640" w:firstLineChars="200"/>
        <w:rPr>
          <w:rFonts w:ascii="仿宋_GB2312" w:hAnsi="宋体" w:eastAsia="仿宋_GB2312" w:cs="宋体"/>
          <w:color w:val="000000"/>
          <w:kern w:val="0"/>
          <w:sz w:val="32"/>
          <w:szCs w:val="32"/>
          <w:shd w:val="clear" w:color="auto" w:fill="FFFFFF"/>
          <w:lang w:val="zh-CN"/>
        </w:rPr>
      </w:pPr>
      <w:r>
        <w:rPr>
          <w:rFonts w:hint="eastAsia" w:ascii="仿宋_GB2312" w:eastAsia="仿宋_GB2312" w:cs="仿宋_GB2312"/>
          <w:color w:val="000000"/>
          <w:sz w:val="32"/>
          <w:szCs w:val="32"/>
          <w:shd w:val="clear" w:color="auto" w:fill="FFFFFF"/>
        </w:rPr>
        <w:t>我们从预算绩效目标管理、专项资金管理、预算执行进度、绩效评价和资金分配和使用等方面，认真组织了自评。我们认为，我委预算绩效目</w:t>
      </w:r>
      <w:r>
        <w:rPr>
          <w:rFonts w:hint="eastAsia" w:ascii="仿宋_GB2312" w:eastAsia="仿宋_GB2312" w:cs="仿宋_GB2312"/>
          <w:color w:val="000000"/>
          <w:spacing w:val="-6"/>
          <w:sz w:val="32"/>
          <w:szCs w:val="32"/>
          <w:shd w:val="clear" w:color="auto" w:fill="FFFFFF"/>
        </w:rPr>
        <w:t>标管理合理，专项资金管理规范，2022年预算执行进度依规执行，资金分配和使用按预算执行。同时</w:t>
      </w:r>
      <w:r>
        <w:rPr>
          <w:rFonts w:hint="eastAsia" w:ascii="仿宋_GB2312" w:hAnsi="仿宋_GB2312" w:eastAsia="仿宋_GB2312" w:cs="仿宋_GB2312"/>
          <w:sz w:val="32"/>
          <w:szCs w:val="32"/>
        </w:rPr>
        <w:t>宜宾市委政法委在省委政法委的正确指导下，在市委的坚强领导下，深入学习贯彻落实习近平总书记来川来宜视察重要指示精神和省第十二次党代会精神，以党的二十大系列重要会议活动安保维稳工作为主线，加快推进更高水平的平安宜宾、法治宜宾建设，以高质量政法工作护航经济社会高质量发展，持续巩固了宜宾政治社会持续安全稳定。</w:t>
      </w:r>
    </w:p>
    <w:p>
      <w:pPr>
        <w:widowControl/>
        <w:adjustRightInd w:val="0"/>
        <w:snapToGrid w:val="0"/>
        <w:spacing w:line="560" w:lineRule="exact"/>
        <w:ind w:firstLine="640" w:firstLineChars="200"/>
        <w:contextualSpacing/>
        <w:rPr>
          <w:rFonts w:ascii="楷体_GB2312" w:hAnsi="楷体_GB2312" w:eastAsia="楷体_GB2312" w:cs="楷体_GB2312"/>
          <w:bCs/>
          <w:color w:val="000000"/>
          <w:kern w:val="0"/>
          <w:sz w:val="32"/>
          <w:szCs w:val="32"/>
          <w:shd w:val="clear" w:color="auto" w:fill="FFFFFF"/>
          <w:lang w:val="zh-CN"/>
        </w:rPr>
      </w:pPr>
      <w:r>
        <w:rPr>
          <w:rFonts w:hint="eastAsia" w:ascii="楷体_GB2312" w:hAnsi="楷体_GB2312" w:eastAsia="楷体_GB2312" w:cs="楷体_GB2312"/>
          <w:bCs/>
          <w:color w:val="000000"/>
          <w:kern w:val="0"/>
          <w:sz w:val="32"/>
          <w:szCs w:val="32"/>
          <w:shd w:val="clear" w:color="auto" w:fill="FFFFFF"/>
          <w:lang w:val="zh-CN"/>
        </w:rPr>
        <w:t>（三）结果应用情况。</w:t>
      </w:r>
    </w:p>
    <w:p>
      <w:pPr>
        <w:widowControl/>
        <w:adjustRightInd w:val="0"/>
        <w:snapToGrid w:val="0"/>
        <w:spacing w:line="560" w:lineRule="exact"/>
        <w:ind w:firstLine="640" w:firstLineChars="200"/>
        <w:contextualSpacing/>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市委政法委按要求将部门整体绩效自评情况和自行组织的评价情况向社会公开，并在规定时间内向财政部门反馈应用绩效结果报告。</w:t>
      </w:r>
    </w:p>
    <w:p>
      <w:pPr>
        <w:widowControl/>
        <w:adjustRightInd w:val="0"/>
        <w:snapToGrid w:val="0"/>
        <w:spacing w:line="560" w:lineRule="exact"/>
        <w:ind w:firstLine="640" w:firstLineChars="200"/>
        <w:contextualSpacing/>
        <w:rPr>
          <w:rFonts w:ascii="楷体_GB2312" w:hAnsi="楷体_GB2312" w:eastAsia="楷体_GB2312" w:cs="楷体_GB2312"/>
          <w:bCs/>
          <w:color w:val="000000"/>
          <w:kern w:val="0"/>
          <w:sz w:val="32"/>
          <w:szCs w:val="32"/>
          <w:shd w:val="clear" w:color="auto" w:fill="FFFFFF"/>
          <w:lang w:val="zh-CN"/>
        </w:rPr>
      </w:pPr>
      <w:r>
        <w:rPr>
          <w:rFonts w:hint="eastAsia" w:ascii="楷体_GB2312" w:hAnsi="楷体_GB2312" w:eastAsia="楷体_GB2312" w:cs="楷体_GB2312"/>
          <w:bCs/>
          <w:color w:val="000000"/>
          <w:kern w:val="0"/>
          <w:sz w:val="32"/>
          <w:szCs w:val="32"/>
          <w:shd w:val="clear" w:color="auto" w:fill="FFFFFF"/>
          <w:lang w:val="zh-CN"/>
        </w:rPr>
        <w:t>（四）自评质量。</w:t>
      </w:r>
    </w:p>
    <w:p>
      <w:pPr>
        <w:pStyle w:val="9"/>
        <w:spacing w:after="0" w:line="560" w:lineRule="exact"/>
        <w:ind w:left="0" w:leftChars="0" w:firstLine="0" w:firstLineChars="0"/>
        <w:rPr>
          <w:rFonts w:eastAsia="仿宋_GB2312"/>
          <w:sz w:val="32"/>
        </w:rPr>
      </w:pPr>
      <w:r>
        <w:rPr>
          <w:rFonts w:hint="eastAsia" w:eastAsia="仿宋_GB2312"/>
          <w:sz w:val="32"/>
        </w:rPr>
        <w:t xml:space="preserve">    </w:t>
      </w:r>
      <w:r>
        <w:rPr>
          <w:rFonts w:hint="eastAsia" w:hAnsi="宋体" w:eastAsia="仿宋_GB2312" w:cs="宋体"/>
          <w:color w:val="000000"/>
          <w:kern w:val="0"/>
          <w:sz w:val="32"/>
          <w:shd w:val="clear" w:color="auto" w:fill="FFFFFF"/>
          <w:lang w:val="zh-CN"/>
        </w:rPr>
        <w:t>市委政法委</w:t>
      </w:r>
      <w:r>
        <w:rPr>
          <w:rFonts w:hint="eastAsia" w:eastAsia="仿宋_GB2312"/>
          <w:sz w:val="32"/>
        </w:rPr>
        <w:t>整体支出自评准确率优。</w:t>
      </w:r>
    </w:p>
    <w:p>
      <w:pPr>
        <w:widowControl/>
        <w:adjustRightInd w:val="0"/>
        <w:snapToGrid w:val="0"/>
        <w:spacing w:line="560" w:lineRule="exact"/>
        <w:ind w:firstLine="640" w:firstLineChars="200"/>
        <w:contextualSpacing/>
        <w:rPr>
          <w:rFonts w:ascii="黑体" w:hAnsi="黑体" w:eastAsia="黑体" w:cs="宋体"/>
          <w:color w:val="000000"/>
          <w:kern w:val="0"/>
          <w:sz w:val="32"/>
          <w:szCs w:val="32"/>
          <w:shd w:val="clear" w:color="auto" w:fill="FFFFFF"/>
        </w:rPr>
      </w:pPr>
      <w:r>
        <w:rPr>
          <w:rFonts w:hint="eastAsia" w:ascii="黑体" w:hAnsi="黑体" w:eastAsia="黑体" w:cs="宋体"/>
          <w:color w:val="000000"/>
          <w:kern w:val="0"/>
          <w:sz w:val="32"/>
          <w:szCs w:val="32"/>
          <w:shd w:val="clear" w:color="auto" w:fill="FFFFFF"/>
        </w:rPr>
        <w:t>四、评价结论及建议</w:t>
      </w:r>
    </w:p>
    <w:p>
      <w:pPr>
        <w:widowControl/>
        <w:adjustRightInd w:val="0"/>
        <w:snapToGrid w:val="0"/>
        <w:spacing w:line="560" w:lineRule="exact"/>
        <w:ind w:firstLine="640" w:firstLineChars="200"/>
        <w:contextualSpacing/>
        <w:rPr>
          <w:rFonts w:ascii="仿宋_GB2312" w:hAnsi="宋体" w:eastAsia="仿宋_GB2312" w:cs="宋体"/>
          <w:color w:val="000000"/>
          <w:kern w:val="0"/>
          <w:sz w:val="32"/>
          <w:szCs w:val="32"/>
          <w:shd w:val="clear" w:color="auto" w:fill="FFFFFF"/>
        </w:rPr>
      </w:pPr>
      <w:r>
        <w:rPr>
          <w:rFonts w:hint="eastAsia" w:ascii="楷体_GB2312" w:hAnsi="楷体_GB2312" w:eastAsia="楷体_GB2312" w:cs="楷体_GB2312"/>
          <w:bCs/>
          <w:color w:val="000000"/>
          <w:kern w:val="0"/>
          <w:sz w:val="32"/>
          <w:szCs w:val="32"/>
          <w:shd w:val="clear" w:color="auto" w:fill="FFFFFF"/>
          <w:lang w:val="zh-CN"/>
        </w:rPr>
        <w:t>（一）评价结论。</w:t>
      </w:r>
      <w:r>
        <w:rPr>
          <w:rFonts w:hint="eastAsia" w:ascii="仿宋_GB2312" w:hAnsi="宋体" w:eastAsia="仿宋_GB2312" w:cs="宋体"/>
          <w:color w:val="000000"/>
          <w:kern w:val="0"/>
          <w:sz w:val="32"/>
          <w:szCs w:val="32"/>
          <w:shd w:val="clear" w:color="auto" w:fill="FFFFFF"/>
        </w:rPr>
        <w:t>本单位财政资金收支预算符合相关规定，能够严格控制“三公”经费支出，内部控制制度健全完整，执行到位，单位未出现廉政风险，整体绩效评价自评得分100分。</w:t>
      </w:r>
    </w:p>
    <w:p>
      <w:pPr>
        <w:numPr>
          <w:ilvl w:val="0"/>
          <w:numId w:val="5"/>
        </w:numPr>
        <w:spacing w:line="560" w:lineRule="exact"/>
        <w:ind w:firstLine="640" w:firstLineChars="200"/>
        <w:rPr>
          <w:rFonts w:ascii="楷体_GB2312" w:hAnsi="楷体_GB2312" w:eastAsia="楷体_GB2312" w:cs="楷体_GB2312"/>
          <w:bCs/>
          <w:color w:val="000000"/>
          <w:kern w:val="0"/>
          <w:sz w:val="32"/>
          <w:szCs w:val="32"/>
          <w:shd w:val="clear" w:color="auto" w:fill="FFFFFF"/>
          <w:lang w:val="zh-CN"/>
        </w:rPr>
      </w:pPr>
      <w:r>
        <w:rPr>
          <w:rFonts w:hint="eastAsia" w:ascii="楷体_GB2312" w:hAnsi="楷体_GB2312" w:eastAsia="楷体_GB2312" w:cs="楷体_GB2312"/>
          <w:bCs/>
          <w:color w:val="000000"/>
          <w:kern w:val="0"/>
          <w:sz w:val="32"/>
          <w:szCs w:val="32"/>
          <w:shd w:val="clear" w:color="auto" w:fill="FFFFFF"/>
          <w:lang w:val="zh-CN"/>
        </w:rPr>
        <w:t>存在问题。</w:t>
      </w:r>
    </w:p>
    <w:p>
      <w:pPr>
        <w:spacing w:line="560" w:lineRule="exact"/>
        <w:ind w:firstLine="640" w:firstLineChars="200"/>
        <w:rPr>
          <w:rFonts w:ascii="仿宋_GB2312" w:eastAsia="仿宋_GB2312"/>
          <w:color w:val="000000"/>
          <w:kern w:val="0"/>
          <w:sz w:val="32"/>
          <w:szCs w:val="32"/>
          <w:shd w:val="clear" w:color="auto" w:fill="FFFFFF"/>
          <w:lang w:val="zh-CN"/>
        </w:rPr>
      </w:pPr>
      <w:r>
        <w:rPr>
          <w:rFonts w:hint="eastAsia" w:ascii="仿宋_GB2312" w:hAnsi="楷体_GB2312" w:eastAsia="仿宋_GB2312" w:cs="楷体_GB2312"/>
          <w:color w:val="000000"/>
          <w:sz w:val="32"/>
          <w:szCs w:val="32"/>
        </w:rPr>
        <w:t>1.成本控制方面。</w:t>
      </w:r>
      <w:r>
        <w:rPr>
          <w:rFonts w:hint="eastAsia" w:ascii="仿宋_GB2312" w:eastAsia="仿宋_GB2312"/>
          <w:color w:val="000000"/>
          <w:kern w:val="0"/>
          <w:sz w:val="32"/>
          <w:szCs w:val="32"/>
        </w:rPr>
        <w:t xml:space="preserve">部门预算编报时间大多在九、十月份，机关工作计划的确定一般在年末，二者不能同步匹配，部门在编制预算时，因缺少准确信息，无法预先掌握下年工作计划及重点，编制年初预算时无法充分考虑全年需求，存在部分资金无法细化到具体项目的情况。 </w:t>
      </w:r>
    </w:p>
    <w:p>
      <w:pPr>
        <w:spacing w:line="560" w:lineRule="exact"/>
        <w:ind w:firstLine="640" w:firstLineChars="200"/>
        <w:rPr>
          <w:rFonts w:ascii="仿宋_GB2312" w:hAnsi="楷体_GB2312" w:eastAsia="仿宋_GB2312" w:cs="楷体_GB2312"/>
          <w:color w:val="000000"/>
          <w:sz w:val="32"/>
          <w:szCs w:val="32"/>
        </w:rPr>
      </w:pPr>
      <w:r>
        <w:rPr>
          <w:rFonts w:hint="eastAsia" w:ascii="仿宋_GB2312" w:hAnsi="楷体_GB2312" w:eastAsia="仿宋_GB2312" w:cs="楷体_GB2312"/>
          <w:color w:val="000000"/>
          <w:sz w:val="32"/>
          <w:szCs w:val="32"/>
        </w:rPr>
        <w:t>2.综合管理方面。</w:t>
      </w:r>
      <w:r>
        <w:rPr>
          <w:rFonts w:hint="eastAsia" w:ascii="仿宋_GB2312" w:eastAsia="仿宋_GB2312"/>
          <w:color w:val="000000"/>
          <w:kern w:val="0"/>
          <w:sz w:val="32"/>
          <w:szCs w:val="32"/>
        </w:rPr>
        <w:t>预算执行均衡性方面，根据部门工作特性，部门临时性、新增工作多，导致部分</w:t>
      </w:r>
      <w:r>
        <w:rPr>
          <w:rFonts w:hint="eastAsia" w:ascii="仿宋_GB2312" w:eastAsia="仿宋_GB2312"/>
          <w:kern w:val="0"/>
          <w:sz w:val="32"/>
          <w:szCs w:val="32"/>
        </w:rPr>
        <w:t>支出较为集中。</w:t>
      </w:r>
    </w:p>
    <w:p>
      <w:pPr>
        <w:spacing w:line="560" w:lineRule="exact"/>
        <w:ind w:firstLine="640" w:firstLineChars="200"/>
        <w:rPr>
          <w:rFonts w:ascii="仿宋_GB2312" w:hAnsi="楷体_GB2312" w:eastAsia="仿宋_GB2312" w:cs="楷体_GB2312"/>
          <w:b/>
          <w:bCs/>
          <w:color w:val="000000"/>
          <w:kern w:val="0"/>
          <w:sz w:val="32"/>
          <w:szCs w:val="32"/>
          <w:shd w:val="clear" w:color="auto" w:fill="FFFFFF"/>
          <w:lang w:val="zh-CN"/>
        </w:rPr>
      </w:pPr>
      <w:r>
        <w:rPr>
          <w:rFonts w:hint="eastAsia" w:ascii="仿宋_GB2312" w:hAnsi="楷体_GB2312" w:eastAsia="仿宋_GB2312" w:cs="楷体_GB2312"/>
          <w:color w:val="000000"/>
          <w:sz w:val="32"/>
          <w:szCs w:val="32"/>
        </w:rPr>
        <w:t>3.目标任务完成方面。</w:t>
      </w:r>
      <w:r>
        <w:rPr>
          <w:rFonts w:hint="eastAsia" w:ascii="仿宋_GB2312" w:eastAsia="仿宋_GB2312"/>
          <w:color w:val="000000"/>
          <w:kern w:val="0"/>
          <w:sz w:val="32"/>
          <w:szCs w:val="32"/>
        </w:rPr>
        <w:t>预算执行均衡性方面，根据部门工作特性，部门临时性、新增工作多，导致部分</w:t>
      </w:r>
      <w:r>
        <w:rPr>
          <w:rFonts w:hint="eastAsia" w:ascii="仿宋_GB2312" w:eastAsia="仿宋_GB2312"/>
          <w:kern w:val="0"/>
          <w:sz w:val="32"/>
          <w:szCs w:val="32"/>
        </w:rPr>
        <w:t>支出较为集中。存在部门预算执行进度不均衡，资金使用“前松后紧”的现象，一定程度上影响了预算执行进度。</w:t>
      </w:r>
    </w:p>
    <w:p>
      <w:pPr>
        <w:numPr>
          <w:ilvl w:val="0"/>
          <w:numId w:val="5"/>
        </w:numPr>
        <w:spacing w:line="560" w:lineRule="exact"/>
        <w:ind w:firstLine="640" w:firstLineChars="200"/>
        <w:rPr>
          <w:rFonts w:ascii="楷体_GB2312" w:hAnsi="楷体_GB2312" w:eastAsia="楷体_GB2312" w:cs="楷体_GB2312"/>
          <w:bCs/>
          <w:color w:val="000000"/>
          <w:kern w:val="0"/>
          <w:sz w:val="32"/>
          <w:szCs w:val="32"/>
          <w:shd w:val="clear" w:color="auto" w:fill="FFFFFF"/>
          <w:lang w:val="zh-CN"/>
        </w:rPr>
      </w:pPr>
      <w:r>
        <w:rPr>
          <w:rFonts w:hint="eastAsia" w:ascii="楷体_GB2312" w:hAnsi="楷体_GB2312" w:eastAsia="楷体_GB2312" w:cs="楷体_GB2312"/>
          <w:bCs/>
          <w:color w:val="000000"/>
          <w:kern w:val="0"/>
          <w:sz w:val="32"/>
          <w:szCs w:val="32"/>
          <w:shd w:val="clear" w:color="auto" w:fill="FFFFFF"/>
          <w:lang w:val="zh-CN"/>
        </w:rPr>
        <w:t>改进建议。</w:t>
      </w:r>
    </w:p>
    <w:p>
      <w:pPr>
        <w:spacing w:line="560" w:lineRule="exact"/>
        <w:ind w:firstLine="642" w:firstLineChars="200"/>
        <w:rPr>
          <w:rFonts w:ascii="仿宋_GB2312" w:hAnsi="楷体_GB2312" w:eastAsia="仿宋_GB2312" w:cs="楷体_GB2312"/>
          <w:color w:val="000000"/>
          <w:sz w:val="32"/>
          <w:szCs w:val="32"/>
        </w:rPr>
      </w:pPr>
      <w:r>
        <w:rPr>
          <w:rFonts w:hint="eastAsia" w:ascii="仿宋_GB2312" w:hAnsi="楷体_GB2312" w:eastAsia="仿宋_GB2312" w:cs="楷体_GB2312"/>
          <w:b/>
          <w:color w:val="000000"/>
          <w:sz w:val="32"/>
          <w:szCs w:val="32"/>
        </w:rPr>
        <w:t>1.如何进行成本控制。</w:t>
      </w:r>
      <w:r>
        <w:rPr>
          <w:rFonts w:hint="eastAsia" w:ascii="仿宋_GB2312" w:eastAsia="仿宋_GB2312"/>
          <w:sz w:val="32"/>
          <w:szCs w:val="32"/>
        </w:rPr>
        <w:t>强化预算绩效管理。继续深入实施预算管理绩效评价工作，结合绩效监督结果安排预算，变简单追求支出进度为追求预算绩效质量。</w:t>
      </w:r>
    </w:p>
    <w:p>
      <w:pPr>
        <w:spacing w:line="560" w:lineRule="exact"/>
        <w:ind w:firstLine="642" w:firstLineChars="200"/>
        <w:rPr>
          <w:rFonts w:ascii="楷体_GB2312" w:hAnsi="楷体_GB2312" w:eastAsia="楷体_GB2312" w:cs="楷体_GB2312"/>
          <w:color w:val="000000"/>
          <w:sz w:val="32"/>
          <w:szCs w:val="32"/>
        </w:rPr>
      </w:pPr>
      <w:r>
        <w:rPr>
          <w:rFonts w:hint="eastAsia" w:ascii="仿宋_GB2312" w:hAnsi="楷体_GB2312" w:eastAsia="仿宋_GB2312" w:cs="楷体_GB2312"/>
          <w:b/>
          <w:color w:val="000000"/>
          <w:sz w:val="32"/>
          <w:szCs w:val="32"/>
        </w:rPr>
        <w:t>2.如何改进综合管理。</w:t>
      </w:r>
      <w:r>
        <w:rPr>
          <w:rFonts w:hint="eastAsia" w:ascii="仿宋_GB2312" w:eastAsia="仿宋_GB2312"/>
          <w:sz w:val="32"/>
          <w:szCs w:val="32"/>
        </w:rPr>
        <w:t>加强工作交流培训，提高业务水平。加强财务基础工作，定期安排财务人员集中开展继续教育，提升会计核算质量。每年编制部门预算前，采取学习考察、工作调研、业务交流等形式，对预算部门开展多层次的业务培训，促使财务人员理解掌握部门预算编制和执行中的程序、方法和技巧以及可能涉及到的政策法规、工作制度，以规范预算管理、规避财务风险、提高预算管理水平。</w:t>
      </w:r>
    </w:p>
    <w:p>
      <w:pPr>
        <w:spacing w:line="560" w:lineRule="exact"/>
        <w:ind w:firstLine="642" w:firstLineChars="200"/>
        <w:rPr>
          <w:rFonts w:ascii="楷体_GB2312" w:hAnsi="楷体_GB2312" w:eastAsia="楷体_GB2312" w:cs="楷体_GB2312"/>
          <w:color w:val="000000"/>
          <w:sz w:val="32"/>
          <w:szCs w:val="32"/>
        </w:rPr>
      </w:pPr>
      <w:r>
        <w:rPr>
          <w:rFonts w:hint="eastAsia" w:ascii="仿宋_GB2312" w:hAnsi="楷体_GB2312" w:eastAsia="仿宋_GB2312" w:cs="楷体_GB2312"/>
          <w:b/>
          <w:color w:val="000000"/>
          <w:sz w:val="32"/>
          <w:szCs w:val="32"/>
        </w:rPr>
        <w:t>3.如何确保目标任务的完成。</w:t>
      </w:r>
      <w:r>
        <w:rPr>
          <w:rFonts w:hint="eastAsia" w:ascii="仿宋_GB2312" w:eastAsia="仿宋_GB2312"/>
          <w:sz w:val="32"/>
          <w:szCs w:val="32"/>
        </w:rPr>
        <w:t>严格委机关预算管理办法，进一步加强预算分配、管理、使用、监督等环节的职责任务。根据当前市委、市政府关于预算绩效管理的相关政策，适时完善机关预算绩效管理等制度，建立规范有序的预算绩效管理体系。</w:t>
      </w:r>
    </w:p>
    <w:p>
      <w:pPr>
        <w:spacing w:line="560" w:lineRule="exact"/>
        <w:ind w:firstLine="420" w:firstLineChars="200"/>
        <w:rPr>
          <w:rFonts w:eastAsia="黑体"/>
          <w:color w:val="000000"/>
        </w:rPr>
      </w:pPr>
    </w:p>
    <w:p>
      <w:pPr>
        <w:pStyle w:val="43"/>
        <w:spacing w:line="560" w:lineRule="exact"/>
        <w:rPr>
          <w:rFonts w:ascii="Times New Roman" w:hAnsi="Times New Roman" w:eastAsia="宋体" w:cs="Times New Roman"/>
          <w:sz w:val="28"/>
          <w:szCs w:val="28"/>
        </w:rPr>
      </w:pPr>
    </w:p>
    <w:p>
      <w:pPr>
        <w:pStyle w:val="43"/>
        <w:spacing w:line="560" w:lineRule="exact"/>
        <w:rPr>
          <w:rFonts w:ascii="Times New Roman" w:hAnsi="Times New Roman" w:eastAsia="宋体" w:cs="Times New Roman"/>
          <w:sz w:val="28"/>
          <w:szCs w:val="28"/>
        </w:rPr>
      </w:pPr>
    </w:p>
    <w:p>
      <w:pPr>
        <w:pStyle w:val="43"/>
        <w:spacing w:line="560" w:lineRule="exact"/>
        <w:rPr>
          <w:rFonts w:ascii="Times New Roman" w:hAnsi="Times New Roman" w:eastAsia="宋体" w:cs="Times New Roman"/>
          <w:sz w:val="28"/>
          <w:szCs w:val="28"/>
        </w:rPr>
      </w:pPr>
    </w:p>
    <w:p>
      <w:pPr>
        <w:pStyle w:val="43"/>
        <w:spacing w:line="560" w:lineRule="exact"/>
        <w:rPr>
          <w:rFonts w:ascii="Times New Roman" w:hAnsi="Times New Roman" w:eastAsia="宋体" w:cs="Times New Roman"/>
          <w:sz w:val="28"/>
          <w:szCs w:val="28"/>
        </w:rPr>
      </w:pPr>
    </w:p>
    <w:p>
      <w:pPr>
        <w:pStyle w:val="43"/>
        <w:spacing w:line="560" w:lineRule="exact"/>
        <w:rPr>
          <w:rFonts w:ascii="Times New Roman" w:hAnsi="Times New Roman" w:eastAsia="宋体" w:cs="Times New Roman"/>
          <w:sz w:val="28"/>
          <w:szCs w:val="28"/>
        </w:rPr>
      </w:pPr>
    </w:p>
    <w:p>
      <w:pPr>
        <w:pStyle w:val="43"/>
        <w:spacing w:line="560" w:lineRule="exact"/>
        <w:rPr>
          <w:rFonts w:ascii="Times New Roman" w:hAnsi="Times New Roman" w:eastAsia="宋体" w:cs="Times New Roman"/>
          <w:sz w:val="28"/>
          <w:szCs w:val="28"/>
        </w:rPr>
      </w:pPr>
    </w:p>
    <w:p>
      <w:pPr>
        <w:pStyle w:val="43"/>
        <w:spacing w:line="560" w:lineRule="exact"/>
        <w:rPr>
          <w:rFonts w:ascii="Times New Roman" w:hAnsi="Times New Roman" w:eastAsia="宋体" w:cs="Times New Roman"/>
          <w:sz w:val="28"/>
          <w:szCs w:val="28"/>
        </w:rPr>
      </w:pPr>
    </w:p>
    <w:p>
      <w:pPr>
        <w:pStyle w:val="43"/>
        <w:spacing w:line="560" w:lineRule="exact"/>
        <w:rPr>
          <w:rFonts w:ascii="Times New Roman" w:hAnsi="Times New Roman" w:eastAsia="宋体" w:cs="Times New Roman"/>
          <w:sz w:val="28"/>
          <w:szCs w:val="28"/>
        </w:rPr>
      </w:pPr>
    </w:p>
    <w:p>
      <w:pPr>
        <w:pStyle w:val="43"/>
        <w:spacing w:line="560" w:lineRule="exact"/>
        <w:rPr>
          <w:rFonts w:ascii="Times New Roman" w:hAnsi="Times New Roman" w:eastAsia="宋体" w:cs="Times New Roman"/>
          <w:sz w:val="28"/>
          <w:szCs w:val="28"/>
        </w:rPr>
      </w:pPr>
    </w:p>
    <w:p>
      <w:pPr>
        <w:pStyle w:val="43"/>
        <w:spacing w:line="560" w:lineRule="exact"/>
        <w:rPr>
          <w:rFonts w:ascii="Times New Roman" w:hAnsi="Times New Roman" w:eastAsia="宋体" w:cs="Times New Roman"/>
          <w:sz w:val="28"/>
          <w:szCs w:val="28"/>
        </w:rPr>
      </w:pPr>
    </w:p>
    <w:p>
      <w:pPr>
        <w:pStyle w:val="43"/>
        <w:spacing w:line="560" w:lineRule="exact"/>
        <w:rPr>
          <w:rFonts w:ascii="Times New Roman" w:hAnsi="Times New Roman" w:eastAsia="宋体" w:cs="Times New Roman"/>
          <w:sz w:val="28"/>
          <w:szCs w:val="28"/>
        </w:rPr>
      </w:pPr>
    </w:p>
    <w:p>
      <w:pPr>
        <w:pStyle w:val="43"/>
        <w:spacing w:line="560" w:lineRule="exact"/>
        <w:rPr>
          <w:rFonts w:ascii="方正小标宋简体" w:hAnsi="方正小标宋简体" w:eastAsia="方正小标宋简体" w:cs="方正小标宋简体"/>
          <w:color w:val="auto"/>
          <w:sz w:val="44"/>
          <w:szCs w:val="44"/>
        </w:rPr>
      </w:pPr>
    </w:p>
    <w:p>
      <w:pPr>
        <w:pStyle w:val="43"/>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宜宾市公共安全视频建设联网应用项目</w:t>
      </w:r>
    </w:p>
    <w:p>
      <w:pPr>
        <w:pStyle w:val="43"/>
        <w:spacing w:line="560" w:lineRule="exact"/>
        <w:jc w:val="center"/>
        <w:rPr>
          <w:rFonts w:ascii="宋体" w:hAnsi="宋体"/>
          <w:color w:val="auto"/>
          <w:sz w:val="32"/>
          <w:szCs w:val="32"/>
        </w:rPr>
      </w:pPr>
      <w:r>
        <w:rPr>
          <w:rFonts w:hint="eastAsia" w:ascii="方正小标宋简体" w:hAnsi="方正小标宋简体" w:eastAsia="方正小标宋简体" w:cs="方正小标宋简体"/>
          <w:color w:val="auto"/>
          <w:sz w:val="44"/>
          <w:szCs w:val="44"/>
        </w:rPr>
        <w:t>绩效自评报告</w:t>
      </w:r>
    </w:p>
    <w:p>
      <w:pPr>
        <w:adjustRightInd w:val="0"/>
        <w:snapToGrid w:val="0"/>
        <w:spacing w:line="56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widowControl/>
        <w:adjustRightInd w:val="0"/>
        <w:snapToGrid w:val="0"/>
        <w:spacing w:line="560" w:lineRule="exact"/>
        <w:ind w:firstLine="640" w:firstLineChars="200"/>
        <w:contextualSpacing/>
        <w:rPr>
          <w:rFonts w:ascii="仿宋_GB2312" w:eastAsia="仿宋_GB2312"/>
          <w:sz w:val="32"/>
          <w:szCs w:val="32"/>
        </w:rPr>
      </w:pPr>
      <w:r>
        <w:rPr>
          <w:rFonts w:hint="eastAsia" w:ascii="仿宋_GB2312" w:eastAsia="仿宋_GB2312"/>
          <w:color w:val="000000"/>
          <w:sz w:val="32"/>
          <w:szCs w:val="32"/>
        </w:rPr>
        <w:t>2018年5月，经市政府批复同意，我市向中央政法委上报项目建设方案。2019年2月，中央政法委办公厅、公安部办公厅批复同意将我市作为“雪亮工程”重点项目支持城市。2019年6月，市委网信办审核同意项目可行性研究报告，</w:t>
      </w:r>
      <w:r>
        <w:rPr>
          <w:rFonts w:hint="eastAsia" w:ascii="仿宋_GB2312" w:hAnsi="等线" w:eastAsia="仿宋_GB2312"/>
          <w:sz w:val="32"/>
          <w:szCs w:val="32"/>
        </w:rPr>
        <w:t>市公安局、县（区）政法委陆续开展相关建设</w:t>
      </w:r>
      <w:r>
        <w:rPr>
          <w:rFonts w:hint="eastAsia" w:ascii="仿宋_GB2312" w:eastAsia="仿宋_GB2312"/>
          <w:color w:val="000000"/>
          <w:sz w:val="32"/>
          <w:szCs w:val="32"/>
        </w:rPr>
        <w:t>。2019年10月，市委网信办审核同意项目初步设计方案。2020年11月，中央预算内补助资金2800万元下达我市。2021年8月，市委网信办审核同意项目深化设计方案。</w:t>
      </w:r>
      <w:r>
        <w:rPr>
          <w:rFonts w:hint="eastAsia" w:ascii="仿宋_GB2312" w:eastAsia="仿宋_GB2312"/>
          <w:sz w:val="32"/>
          <w:szCs w:val="32"/>
        </w:rPr>
        <w:t>2022年市级下达配套资金1785万元。为确保项目顺利推进，2022年市级追加预算</w:t>
      </w:r>
      <w:r>
        <w:rPr>
          <w:rFonts w:hint="eastAsia" w:ascii="仿宋_GB2312" w:hAnsi="等线" w:eastAsia="仿宋_GB2312"/>
          <w:sz w:val="32"/>
          <w:szCs w:val="32"/>
        </w:rPr>
        <w:t>121.28万元。</w:t>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widowControl/>
        <w:adjustRightInd w:val="0"/>
        <w:snapToGrid w:val="0"/>
        <w:spacing w:line="56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按照《公共安全视频监控联网应用工程示范和重点支持项目管理办法》等有关要求，围绕“全域覆盖、全网共享、全时可用、全程可控”的目标，构建立体化治安防控体系，提供更全面的安全保障。从社会治理的角度出发，不断推进社会治理创新，借助大数据、人工智能等技术，实现更精细的社会治理。整合各类视频和非视频信息资源，强化信息共享，加强社会安全保障能力，提升社会管理和服务水平。</w:t>
      </w:r>
    </w:p>
    <w:p>
      <w:pPr>
        <w:widowControl/>
        <w:adjustRightInd w:val="0"/>
        <w:snapToGrid w:val="0"/>
        <w:spacing w:line="560" w:lineRule="exact"/>
        <w:ind w:firstLine="640" w:firstLineChars="200"/>
        <w:contextualSpacing/>
        <w:rPr>
          <w:rFonts w:ascii="仿宋_GB2312" w:eastAsia="仿宋_GB2312"/>
          <w:color w:val="000000"/>
          <w:sz w:val="32"/>
          <w:szCs w:val="32"/>
        </w:rPr>
      </w:pPr>
      <w:r>
        <w:rPr>
          <w:rFonts w:ascii="仿宋_GB2312" w:eastAsia="仿宋_GB2312"/>
          <w:color w:val="000000"/>
          <w:sz w:val="32"/>
          <w:szCs w:val="32"/>
        </w:rPr>
        <w:t>项目申报内容与具体实施内容相符、申报目标合理可行。</w:t>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560" w:lineRule="exact"/>
        <w:ind w:firstLine="720"/>
        <w:rPr>
          <w:rFonts w:ascii="仿宋_GB2312" w:hAnsi="宋体" w:eastAsia="仿宋_GB2312"/>
          <w:sz w:val="32"/>
          <w:szCs w:val="32"/>
        </w:rPr>
      </w:pPr>
      <w:r>
        <w:rPr>
          <w:rFonts w:hint="eastAsia" w:ascii="仿宋_GB2312" w:hAnsi="仿宋_GB2312" w:eastAsia="仿宋_GB2312" w:cs="仿宋_GB2312"/>
          <w:kern w:val="0"/>
          <w:sz w:val="32"/>
          <w:szCs w:val="32"/>
          <w:shd w:val="clear" w:color="auto" w:fill="FFFFFF"/>
          <w:lang w:val="zh-CN"/>
        </w:rPr>
        <w:t>此项目从项目决策、项目实施、完成结果三个方面十个小项组织开展绩效自评。</w:t>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1.项目资金申报及批复情况。</w:t>
      </w:r>
    </w:p>
    <w:p>
      <w:pPr>
        <w:spacing w:line="560" w:lineRule="exact"/>
        <w:ind w:firstLine="640" w:firstLineChars="200"/>
        <w:rPr>
          <w:rFonts w:ascii="仿宋_GB2312" w:hAnsi="仿宋_GB2312" w:eastAsia="仿宋_GB2312" w:cs="仿宋_GB2312"/>
          <w:kern w:val="0"/>
          <w:sz w:val="32"/>
          <w:szCs w:val="32"/>
          <w:shd w:val="clear" w:color="auto" w:fill="FFFFFF"/>
          <w:lang w:val="zh-CN"/>
        </w:rPr>
      </w:pPr>
      <w:r>
        <w:rPr>
          <w:rFonts w:ascii="仿宋_GB2312" w:hAnsi="仿宋_GB2312" w:eastAsia="仿宋_GB2312" w:cs="仿宋_GB2312"/>
          <w:kern w:val="0"/>
          <w:sz w:val="32"/>
          <w:szCs w:val="32"/>
          <w:shd w:val="clear" w:color="auto" w:fill="FFFFFF"/>
          <w:lang w:val="zh-CN"/>
        </w:rPr>
        <w:t>项目资金申报、批复等情况符合资金管理办法等相关规定。</w:t>
      </w:r>
    </w:p>
    <w:p>
      <w:pPr>
        <w:spacing w:line="560" w:lineRule="exact"/>
        <w:ind w:left="720"/>
        <w:rPr>
          <w:rFonts w:ascii="楷体_GB2312" w:hAnsi="宋体" w:eastAsia="楷体_GB2312"/>
          <w:b/>
          <w:sz w:val="32"/>
          <w:szCs w:val="32"/>
          <w:lang w:val="zh-CN"/>
        </w:rPr>
      </w:pPr>
      <w:r>
        <w:rPr>
          <w:rFonts w:hint="eastAsia" w:ascii="楷体_GB2312" w:hAnsi="宋体" w:eastAsia="楷体_GB2312"/>
          <w:b/>
          <w:sz w:val="32"/>
          <w:szCs w:val="32"/>
          <w:lang w:val="zh-CN"/>
        </w:rPr>
        <w:t>2.资金计划、到位及使用情况。</w:t>
      </w:r>
    </w:p>
    <w:p>
      <w:pPr>
        <w:spacing w:line="560" w:lineRule="exact"/>
        <w:ind w:firstLine="640" w:firstLineChars="200"/>
        <w:rPr>
          <w:rFonts w:ascii="仿宋_GB2312" w:eastAsia="仿宋_GB2312"/>
          <w:sz w:val="32"/>
          <w:szCs w:val="32"/>
        </w:rPr>
      </w:pPr>
      <w:r>
        <w:rPr>
          <w:rFonts w:hint="eastAsia" w:ascii="仿宋_GB2312" w:eastAsia="仿宋_GB2312"/>
          <w:color w:val="000000"/>
          <w:sz w:val="32"/>
          <w:szCs w:val="32"/>
        </w:rPr>
        <w:t>2020年11月，中央预算内补助资金2800万元下达我市。</w:t>
      </w:r>
      <w:r>
        <w:rPr>
          <w:rFonts w:hint="eastAsia" w:ascii="仿宋_GB2312" w:eastAsia="仿宋_GB2312"/>
          <w:sz w:val="32"/>
          <w:szCs w:val="32"/>
        </w:rPr>
        <w:t>2022年市级下达配套资金1785万元。为确保项目顺利推进，2022年市级追加预算</w:t>
      </w:r>
      <w:r>
        <w:rPr>
          <w:rFonts w:hint="eastAsia" w:ascii="仿宋_GB2312" w:hAnsi="等线" w:eastAsia="仿宋_GB2312"/>
          <w:sz w:val="32"/>
          <w:szCs w:val="32"/>
        </w:rPr>
        <w:t>121.28</w:t>
      </w:r>
      <w:r>
        <w:rPr>
          <w:rFonts w:hint="eastAsia" w:ascii="仿宋_GB2312" w:eastAsia="仿宋_GB2312"/>
          <w:sz w:val="32"/>
          <w:szCs w:val="32"/>
        </w:rPr>
        <w:t>万元。</w:t>
      </w:r>
      <w:r>
        <w:rPr>
          <w:rFonts w:hint="eastAsia" w:ascii="仿宋_GB2312" w:eastAsia="仿宋_GB2312"/>
          <w:color w:val="000000"/>
          <w:sz w:val="32"/>
          <w:szCs w:val="32"/>
          <w:lang w:val="zh-CN"/>
        </w:rPr>
        <w:t>该项目资金计划截止评价时点已到位。</w:t>
      </w:r>
    </w:p>
    <w:p>
      <w:pPr>
        <w:pBdr>
          <w:top w:val="single" w:color="FFFFFF" w:sz="4" w:space="0"/>
          <w:left w:val="single" w:color="FFFFFF" w:sz="4" w:space="31"/>
          <w:bottom w:val="single" w:color="FFFFFF" w:sz="4" w:space="31"/>
          <w:right w:val="single" w:color="FFFFFF" w:sz="4" w:space="0"/>
        </w:pBd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shd w:val="clear" w:color="auto" w:fill="FFFFFF"/>
          <w:lang w:val="zh-CN"/>
        </w:rPr>
        <w:t>汇总统计截止评价时点该项目全省资金支出情况。在此基础上分项目大类或市（州）分别统计资金支出情况，并对资金使用的安全性、规范性、有效性进行重点分析，包括资金支付范围、支付标准、支付进度、支付依据等是否合规合法、是否与预算相符，并对自评中发现的相关问题进行分析说明。</w:t>
      </w:r>
      <w:r>
        <w:rPr>
          <w:rFonts w:hint="eastAsia" w:ascii="仿宋_GB2312" w:hAnsi="仿宋_GB2312" w:eastAsia="仿宋_GB2312" w:cs="仿宋_GB2312"/>
          <w:sz w:val="32"/>
          <w:szCs w:val="32"/>
        </w:rPr>
        <w:t>严格按照《公共安全视频监控建设联网应用示范工程项目2016年中央预算内投资计划》（发改投资〔2016〕2354号）及《公共安全视频监控建设联网应用工程和重点支持项目管理办法》（中综办〔2017〕3号）相关规定，中央预算内补助资金全部用于公共安全视频图像信息交换共享平台，完善公共安全视频图像联网基础设施，推进视频图像资源联网整合，采购必要的软硬件设备等，并形成固定资产，地方配套项目资金全部落实到位，使用合法合规</w:t>
      </w:r>
      <w:r>
        <w:rPr>
          <w:rFonts w:hint="eastAsia" w:ascii="仿宋_GB2312" w:hAnsi="仿宋_GB2312" w:eastAsia="仿宋_GB2312" w:cs="仿宋_GB2312"/>
          <w:color w:val="000000"/>
          <w:sz w:val="32"/>
          <w:szCs w:val="32"/>
        </w:rPr>
        <w:t>。</w:t>
      </w:r>
    </w:p>
    <w:p>
      <w:pPr>
        <w:pBdr>
          <w:top w:val="single" w:color="FFFFFF" w:sz="4" w:space="0"/>
          <w:left w:val="single" w:color="FFFFFF" w:sz="4" w:space="31"/>
          <w:bottom w:val="single" w:color="FFFFFF" w:sz="4" w:space="0"/>
          <w:right w:val="single" w:color="FFFFFF" w:sz="4" w:space="0"/>
        </w:pBd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楷体_GB2312" w:hAnsi="宋体" w:eastAsia="楷体_GB2312"/>
          <w:b/>
          <w:sz w:val="32"/>
          <w:szCs w:val="32"/>
          <w:lang w:val="zh-CN"/>
        </w:rPr>
        <w:t>项目财务管理情况。</w:t>
      </w:r>
    </w:p>
    <w:p>
      <w:pPr>
        <w:pBdr>
          <w:top w:val="single" w:color="FFFFFF" w:sz="4" w:space="0"/>
          <w:left w:val="single" w:color="FFFFFF" w:sz="4" w:space="31"/>
          <w:bottom w:val="single" w:color="FFFFFF" w:sz="4" w:space="0"/>
          <w:right w:val="single" w:color="FFFFFF" w:sz="4" w:space="0"/>
        </w:pBd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eastAsia="仿宋_GB2312" w:cs="仿宋_GB2312"/>
          <w:color w:val="000000"/>
          <w:sz w:val="32"/>
          <w:szCs w:val="32"/>
        </w:rPr>
        <w:t>市委政法委严格执行单位内控制度和财务工作制度,</w:t>
      </w:r>
      <w:r>
        <w:rPr>
          <w:rFonts w:hint="eastAsia" w:ascii="仿宋_GB2312" w:eastAsia="仿宋_GB2312" w:cs="仿宋_GB2312"/>
          <w:color w:val="000000"/>
          <w:sz w:val="32"/>
          <w:szCs w:val="32"/>
          <w:shd w:val="clear" w:color="auto" w:fill="FFFFFF"/>
        </w:rPr>
        <w:t xml:space="preserve"> </w:t>
      </w:r>
      <w:r>
        <w:rPr>
          <w:rFonts w:hint="eastAsia" w:ascii="仿宋_GB2312" w:eastAsia="仿宋_GB2312" w:cs="仿宋_GB2312"/>
          <w:sz w:val="32"/>
          <w:szCs w:val="32"/>
        </w:rPr>
        <w:t>坚持厉行节约，严控一般性支出，认真执行监控调度，认真落实机关部门经费管理制度，加强内设各部室预算执行，将考核结果作为下年度分配部门经费的依据。增强了预算支出的时效性和均衡性，切实提高资金使用效益。</w:t>
      </w:r>
      <w:r>
        <w:rPr>
          <w:rFonts w:hint="eastAsia" w:ascii="仿宋_GB2312" w:eastAsia="仿宋_GB2312" w:cs="仿宋_GB2312"/>
          <w:color w:val="000000"/>
          <w:sz w:val="32"/>
          <w:szCs w:val="32"/>
          <w:shd w:val="clear" w:color="auto" w:fill="FFFFFF"/>
        </w:rPr>
        <w:t>我们从预算绩效目标管理、专项资金管理、预算执行进度、绩效评价和资金分配和使用等方面，认真组织了自评和自查自纠，未发现违规违纪问题。</w:t>
      </w:r>
    </w:p>
    <w:p>
      <w:pPr>
        <w:pBdr>
          <w:top w:val="single" w:color="FFFFFF" w:sz="4" w:space="0"/>
          <w:left w:val="single" w:color="FFFFFF" w:sz="4" w:space="31"/>
          <w:bottom w:val="single" w:color="FFFFFF" w:sz="4" w:space="0"/>
          <w:right w:val="single" w:color="FFFFFF" w:sz="4" w:space="0"/>
        </w:pBd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黑体" w:hAnsi="宋体" w:eastAsia="黑体"/>
          <w:sz w:val="32"/>
          <w:szCs w:val="32"/>
        </w:rPr>
        <w:t>三、项目实施及管理情况</w:t>
      </w:r>
    </w:p>
    <w:p>
      <w:pPr>
        <w:pBdr>
          <w:top w:val="single" w:color="FFFFFF" w:sz="4" w:space="0"/>
          <w:left w:val="single" w:color="FFFFFF" w:sz="4" w:space="31"/>
          <w:bottom w:val="single" w:color="FFFFFF" w:sz="4" w:space="0"/>
          <w:right w:val="single" w:color="FFFFFF" w:sz="4" w:space="0"/>
        </w:pBd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shd w:val="clear" w:color="auto" w:fill="FFFFFF"/>
          <w:lang w:val="zh-CN"/>
        </w:rPr>
        <w:t>该项目严格按照相关法律法规执行，通过政府采购按照工程进度列支，无违规违纪情况结合项目组织实施管理办法，重点围绕以下内容进行分析评价，并对自评中发现的问题分析说明。</w:t>
      </w:r>
    </w:p>
    <w:p>
      <w:pPr>
        <w:pBdr>
          <w:top w:val="single" w:color="FFFFFF" w:sz="4" w:space="0"/>
          <w:left w:val="single" w:color="FFFFFF" w:sz="4" w:space="31"/>
          <w:bottom w:val="single" w:color="FFFFFF" w:sz="4" w:space="0"/>
          <w:right w:val="single" w:color="FFFFFF" w:sz="4" w:space="0"/>
        </w:pBdr>
        <w:adjustRightInd w:val="0"/>
        <w:snapToGrid w:val="0"/>
        <w:spacing w:line="560" w:lineRule="exact"/>
        <w:ind w:firstLine="642"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lang w:val="zh-CN"/>
        </w:rPr>
        <w:t>1.</w:t>
      </w:r>
      <w:r>
        <w:rPr>
          <w:rFonts w:hint="eastAsia" w:ascii="楷体_GB2312" w:hAnsi="宋体" w:eastAsia="楷体_GB2312"/>
          <w:b/>
          <w:sz w:val="32"/>
          <w:szCs w:val="32"/>
          <w:lang w:val="zh-CN"/>
        </w:rPr>
        <w:t>项目组织架构及实施流程。</w:t>
      </w:r>
      <w:r>
        <w:rPr>
          <w:rFonts w:hint="eastAsia" w:ascii="仿宋_GB2312" w:hAnsi="仿宋_GB2312" w:eastAsia="仿宋_GB2312" w:cs="仿宋_GB2312"/>
          <w:kern w:val="0"/>
          <w:sz w:val="32"/>
          <w:szCs w:val="32"/>
          <w:shd w:val="clear" w:color="auto" w:fill="FFFFFF"/>
          <w:lang w:val="zh-CN"/>
        </w:rPr>
        <w:t>该项目严格按照相关法律法规组织实施。</w:t>
      </w:r>
    </w:p>
    <w:p>
      <w:pPr>
        <w:pBdr>
          <w:top w:val="single" w:color="FFFFFF" w:sz="4" w:space="0"/>
          <w:left w:val="single" w:color="FFFFFF" w:sz="4" w:space="31"/>
          <w:bottom w:val="single" w:color="FFFFFF" w:sz="4" w:space="0"/>
          <w:right w:val="single" w:color="FFFFFF" w:sz="4" w:space="0"/>
        </w:pBdr>
        <w:adjustRightInd w:val="0"/>
        <w:snapToGrid w:val="0"/>
        <w:spacing w:line="560" w:lineRule="exact"/>
        <w:ind w:firstLine="642" w:firstLineChars="20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2.项目管理情况。</w:t>
      </w:r>
      <w:r>
        <w:rPr>
          <w:rFonts w:hint="eastAsia" w:ascii="仿宋_GB2312" w:hAnsi="仿宋_GB2312" w:eastAsia="仿宋_GB2312" w:cs="仿宋_GB2312"/>
          <w:kern w:val="0"/>
          <w:sz w:val="32"/>
          <w:szCs w:val="32"/>
          <w:shd w:val="clear" w:color="auto" w:fill="FFFFFF"/>
          <w:lang w:val="zh-CN"/>
        </w:rPr>
        <w:t>该项目严格执行相关法律法规、项目管理制度等相关规定。</w:t>
      </w:r>
    </w:p>
    <w:p>
      <w:pPr>
        <w:adjustRightInd w:val="0"/>
        <w:snapToGrid w:val="0"/>
        <w:spacing w:line="560" w:lineRule="exact"/>
        <w:ind w:firstLine="642" w:firstLineChars="20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3.项目监管情况。</w:t>
      </w:r>
      <w:r>
        <w:rPr>
          <w:rFonts w:hint="eastAsia" w:ascii="仿宋_GB2312" w:hAnsi="仿宋_GB2312" w:eastAsia="仿宋_GB2312" w:cs="仿宋_GB2312"/>
          <w:kern w:val="0"/>
          <w:sz w:val="32"/>
          <w:szCs w:val="32"/>
          <w:shd w:val="clear" w:color="auto" w:fill="FFFFFF"/>
          <w:lang w:val="zh-CN"/>
        </w:rPr>
        <w:t>市委政法委严格执行单位内控制度和财务工作制度, 坚持厉行节约，严控一般性支出，认真执行监控调度，认真落实机关部门经费管理制度，加强内设各部室预算执行，将考核结果作为下年度分配部门经费的依据，未发现该项目有违规违纪情况。</w:t>
      </w:r>
    </w:p>
    <w:p>
      <w:pPr>
        <w:adjustRightInd w:val="0"/>
        <w:snapToGrid w:val="0"/>
        <w:spacing w:line="560" w:lineRule="exact"/>
        <w:ind w:firstLine="720"/>
        <w:rPr>
          <w:rFonts w:ascii="仿宋_GB2312" w:hAnsi="宋体"/>
          <w:sz w:val="32"/>
          <w:szCs w:val="32"/>
          <w:lang w:val="zh-CN"/>
        </w:rPr>
      </w:pPr>
      <w:r>
        <w:rPr>
          <w:rFonts w:hint="eastAsia" w:ascii="黑体" w:hAnsi="宋体" w:eastAsia="黑体"/>
          <w:sz w:val="32"/>
          <w:szCs w:val="32"/>
        </w:rPr>
        <w:t>四、项目绩效情况</w:t>
      </w:r>
      <w:r>
        <w:rPr>
          <w:rFonts w:hint="eastAsia" w:ascii="仿宋_GB2312" w:hAnsi="宋体"/>
          <w:sz w:val="32"/>
          <w:szCs w:val="32"/>
          <w:lang w:val="zh-CN"/>
        </w:rPr>
        <w:tab/>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2022年4月1日，市级平台通过专家组评估验收</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sz w:val="32"/>
          <w:szCs w:val="32"/>
        </w:rPr>
        <w:t>2022年4月8日，项目通过整体竣工验收。2022年4月15日，省级工作组来宜开展指导，提出进一步优化和整改意见。2022年4月28日，将“雪亮工程”重点支持项目材料审查文件上报至验收评估联合工作组。项目及时完成，无相关违规情况。</w:t>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pBdr>
          <w:top w:val="single" w:color="FFFFFF" w:sz="4" w:space="0"/>
          <w:left w:val="single" w:color="FFFFFF" w:sz="4" w:space="31"/>
          <w:bottom w:val="single" w:color="FFFFFF" w:sz="4" w:space="31"/>
          <w:right w:val="single" w:color="FFFFFF" w:sz="4" w:space="0"/>
        </w:pBdr>
        <w:adjustRightInd w:val="0"/>
        <w:snapToGrid w:val="0"/>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1.综治中心实战化。</w:t>
      </w:r>
      <w:r>
        <w:rPr>
          <w:rFonts w:hint="eastAsia" w:ascii="仿宋_GB2312" w:hAnsi="仿宋_GB2312" w:eastAsia="仿宋_GB2312" w:cs="仿宋_GB2312"/>
          <w:sz w:val="32"/>
          <w:szCs w:val="32"/>
        </w:rPr>
        <w:t>按照规范化、实体化建设要求，市级综治中心于2022年初建成并投入使用，建筑面积约400㎡，配备了中央控制系统、高清LED大屏显示系统、数字会议系统，有效增强应急处置能力。同时，推动各级综治中心规范化、实体实战化建设，各级综治中心相继在我市治安防控、城市管理、抗震救灾、疫情防控、矛盾化解等实战化应用中发挥了重要作用。</w:t>
      </w:r>
    </w:p>
    <w:p>
      <w:pPr>
        <w:pBdr>
          <w:top w:val="single" w:color="FFFFFF" w:sz="4" w:space="0"/>
          <w:left w:val="single" w:color="FFFFFF" w:sz="4" w:space="31"/>
          <w:bottom w:val="single" w:color="FFFFFF" w:sz="4" w:space="31"/>
          <w:right w:val="single" w:color="FFFFFF" w:sz="4" w:space="0"/>
        </w:pBdr>
        <w:adjustRightInd w:val="0"/>
        <w:snapToGrid w:val="0"/>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2.“雪亮工程”智能化。</w:t>
      </w:r>
      <w:r>
        <w:rPr>
          <w:rFonts w:hint="eastAsia" w:ascii="仿宋_GB2312" w:hAnsi="仿宋_GB2312" w:eastAsia="仿宋_GB2312" w:cs="仿宋_GB2312"/>
          <w:sz w:val="32"/>
          <w:szCs w:val="32"/>
        </w:rPr>
        <w:t>增点扩面、夯实基础，推动公共安全区域视频监控全覆盖。加快人像比对、行为分析等智能应用，实现对人员密集区域、重点场所、要害部位风险隐患的自动感知、目标追踪、预警防范等功能，助力平安宜宾建设。</w:t>
      </w:r>
    </w:p>
    <w:p>
      <w:pPr>
        <w:pBdr>
          <w:top w:val="single" w:color="FFFFFF" w:sz="4" w:space="0"/>
          <w:left w:val="single" w:color="FFFFFF" w:sz="4" w:space="31"/>
          <w:bottom w:val="single" w:color="FFFFFF" w:sz="4" w:space="31"/>
          <w:right w:val="single" w:color="FFFFFF" w:sz="4" w:space="0"/>
        </w:pBdr>
        <w:adjustRightInd w:val="0"/>
        <w:snapToGrid w:val="0"/>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3.视频数据共享化。</w:t>
      </w:r>
      <w:r>
        <w:rPr>
          <w:rFonts w:hint="eastAsia" w:ascii="仿宋_GB2312" w:hAnsi="仿宋_GB2312" w:eastAsia="仿宋_GB2312" w:cs="仿宋_GB2312"/>
          <w:sz w:val="32"/>
          <w:szCs w:val="32"/>
        </w:rPr>
        <w:t>科学规划、统筹兼顾、打破自成体系的系统建设，整合全市公共安全视频监控资源，实现资源规范管理、充分共享和业务流程跨区域、跨系统调用，提高相关信息获取的实时化、精准化、系统化和智能化水平，节省人力物力资源，有效提升工作效率。</w:t>
      </w:r>
    </w:p>
    <w:p>
      <w:pPr>
        <w:pBdr>
          <w:top w:val="single" w:color="FFFFFF" w:sz="4" w:space="0"/>
          <w:left w:val="single" w:color="FFFFFF" w:sz="4" w:space="31"/>
          <w:bottom w:val="single" w:color="FFFFFF" w:sz="4" w:space="31"/>
          <w:right w:val="single" w:color="FFFFFF" w:sz="4" w:space="0"/>
        </w:pBdr>
        <w:adjustRightInd w:val="0"/>
        <w:snapToGrid w:val="0"/>
        <w:spacing w:line="560" w:lineRule="exact"/>
        <w:ind w:firstLine="642" w:firstLineChars="200"/>
        <w:rPr>
          <w:rFonts w:ascii="楷体_GB2312" w:hAnsi="楷体_GB2312" w:eastAsia="楷体_GB2312" w:cs="楷体_GB2312"/>
          <w:sz w:val="32"/>
          <w:szCs w:val="32"/>
        </w:rPr>
      </w:pPr>
      <w:r>
        <w:rPr>
          <w:rFonts w:hint="eastAsia" w:ascii="仿宋_GB2312" w:hAnsi="仿宋_GB2312" w:eastAsia="仿宋_GB2312" w:cs="仿宋_GB2312"/>
          <w:b/>
          <w:sz w:val="32"/>
          <w:szCs w:val="32"/>
        </w:rPr>
        <w:t>4.系统应用便民化。</w:t>
      </w:r>
      <w:r>
        <w:rPr>
          <w:rFonts w:hint="eastAsia" w:ascii="仿宋_GB2312" w:hAnsi="仿宋_GB2312" w:eastAsia="仿宋_GB2312" w:cs="仿宋_GB2312"/>
          <w:sz w:val="32"/>
          <w:szCs w:val="32"/>
        </w:rPr>
        <w:t>通过联网共享，实现重点公共区域、重点行业、重点领域等公共区域视频监控覆盖率提升，实现线上、线下业务融合。发动广大群众通过方便简洁的系统，参与群防群治，形成社会治理合力，有效防范危害社会稳定事件发生，提升群众获得感、幸福感和安全感。</w:t>
      </w:r>
    </w:p>
    <w:p>
      <w:pPr>
        <w:pBdr>
          <w:top w:val="single" w:color="FFFFFF" w:sz="4" w:space="0"/>
          <w:left w:val="single" w:color="FFFFFF" w:sz="4" w:space="31"/>
          <w:bottom w:val="single" w:color="FFFFFF" w:sz="4" w:space="31"/>
          <w:right w:val="single" w:color="FFFFFF" w:sz="4" w:space="0"/>
        </w:pBdr>
        <w:adjustRightInd w:val="0"/>
        <w:snapToGrid w:val="0"/>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5.“智治”效果多元化。</w:t>
      </w:r>
      <w:r>
        <w:rPr>
          <w:rFonts w:hint="eastAsia" w:ascii="仿宋_GB2312" w:hAnsi="仿宋_GB2312" w:eastAsia="仿宋_GB2312" w:cs="仿宋_GB2312"/>
          <w:sz w:val="32"/>
          <w:szCs w:val="32"/>
        </w:rPr>
        <w:t>推进“雪亮工程”重点支持项目建设，宜宾市公共安全视频监控建设方案入选2021年全国智慧治理十大典型创新案例。《人民公安报》刊载了宜宾公安推进智能化建设，在深化执法监督制约、保障群众通畅出行、精准阻击电信诈骗等方面取得的成效。中政委《政法动态》专刊2021年第17期刊载了“四川省宜宾市以智能化建设推进市域社会治理”的工作经验和成效。</w:t>
      </w:r>
    </w:p>
    <w:p>
      <w:pPr>
        <w:pBdr>
          <w:top w:val="single" w:color="FFFFFF" w:sz="4" w:space="0"/>
          <w:left w:val="single" w:color="FFFFFF" w:sz="4" w:space="31"/>
          <w:bottom w:val="single" w:color="FFFFFF" w:sz="4" w:space="31"/>
          <w:right w:val="single" w:color="FFFFFF" w:sz="4" w:space="0"/>
        </w:pBdr>
        <w:adjustRightInd w:val="0"/>
        <w:snapToGrid w:val="0"/>
        <w:spacing w:line="560" w:lineRule="exact"/>
        <w:ind w:firstLine="640" w:firstLineChars="200"/>
        <w:rPr>
          <w:rFonts w:ascii="黑体" w:hAnsi="宋体" w:eastAsia="黑体"/>
          <w:sz w:val="32"/>
          <w:szCs w:val="32"/>
        </w:rPr>
      </w:pPr>
      <w:r>
        <w:rPr>
          <w:rFonts w:hint="eastAsia" w:ascii="黑体" w:hAnsi="宋体" w:eastAsia="黑体"/>
          <w:sz w:val="32"/>
          <w:szCs w:val="32"/>
        </w:rPr>
        <w:t>五、评价结论及建议</w:t>
      </w:r>
    </w:p>
    <w:p>
      <w:pPr>
        <w:pBdr>
          <w:top w:val="single" w:color="FFFFFF" w:sz="4" w:space="0"/>
          <w:left w:val="single" w:color="FFFFFF" w:sz="4" w:space="31"/>
          <w:bottom w:val="single" w:color="FFFFFF" w:sz="4" w:space="31"/>
          <w:right w:val="single" w:color="FFFFFF" w:sz="4" w:space="0"/>
        </w:pBdr>
        <w:adjustRightInd w:val="0"/>
        <w:snapToGrid w:val="0"/>
        <w:spacing w:line="56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pBdr>
          <w:top w:val="single" w:color="FFFFFF" w:sz="4" w:space="0"/>
          <w:left w:val="single" w:color="FFFFFF" w:sz="4" w:space="31"/>
          <w:bottom w:val="single" w:color="FFFFFF" w:sz="4" w:space="31"/>
          <w:right w:val="single" w:color="FFFFFF" w:sz="4" w:space="0"/>
        </w:pBdr>
        <w:adjustRightInd w:val="0"/>
        <w:snapToGrid w:val="0"/>
        <w:spacing w:line="560" w:lineRule="exact"/>
        <w:ind w:firstLine="640" w:firstLineChars="200"/>
        <w:rPr>
          <w:rFonts w:eastAsia="仿宋_GB2312" w:cs="仿宋_GB2312"/>
          <w:color w:val="000000"/>
          <w:sz w:val="32"/>
          <w:szCs w:val="32"/>
          <w:shd w:val="clear" w:color="auto" w:fill="FFFFFF"/>
        </w:rPr>
      </w:pPr>
      <w:r>
        <w:rPr>
          <w:rFonts w:hint="eastAsia" w:eastAsia="仿宋_GB2312" w:cs="仿宋_GB2312"/>
          <w:color w:val="000000"/>
          <w:sz w:val="32"/>
          <w:szCs w:val="32"/>
        </w:rPr>
        <w:t>市委政法委严格执行单位内控制度和财务工作制度</w:t>
      </w:r>
      <w:r>
        <w:rPr>
          <w:rFonts w:hint="eastAsia" w:eastAsia="仿宋_GB2312" w:cs="仿宋_GB2312"/>
          <w:color w:val="000000"/>
          <w:sz w:val="32"/>
          <w:szCs w:val="32"/>
          <w:shd w:val="clear" w:color="auto" w:fill="FFFFFF"/>
        </w:rPr>
        <w:t>，</w:t>
      </w:r>
      <w:r>
        <w:rPr>
          <w:rFonts w:hint="eastAsia" w:cs="仿宋_GB2312"/>
          <w:color w:val="000000"/>
          <w:sz w:val="32"/>
          <w:szCs w:val="32"/>
          <w:shd w:val="clear" w:color="auto" w:fill="FFFFFF"/>
        </w:rPr>
        <w:t>按照相关文件要求，</w:t>
      </w:r>
      <w:r>
        <w:rPr>
          <w:rFonts w:hint="eastAsia" w:eastAsia="仿宋_GB2312" w:cs="仿宋_GB2312"/>
          <w:color w:val="000000"/>
          <w:sz w:val="32"/>
          <w:szCs w:val="32"/>
          <w:shd w:val="clear" w:color="auto" w:fill="FFFFFF"/>
        </w:rPr>
        <w:t>我们从预算绩效目标管理、专项资金管理、预算执行进度、绩效评价和资金分配和使用等方面，认真组织了自评和自查自纠，未发现违规违纪问题。</w:t>
      </w:r>
    </w:p>
    <w:p>
      <w:pPr>
        <w:pBdr>
          <w:top w:val="single" w:color="FFFFFF" w:sz="4" w:space="0"/>
          <w:left w:val="single" w:color="FFFFFF" w:sz="4" w:space="31"/>
          <w:bottom w:val="single" w:color="FFFFFF" w:sz="4" w:space="31"/>
          <w:right w:val="single" w:color="FFFFFF" w:sz="4" w:space="0"/>
        </w:pBdr>
        <w:adjustRightInd w:val="0"/>
        <w:snapToGrid w:val="0"/>
        <w:spacing w:line="560" w:lineRule="exact"/>
        <w:ind w:firstLine="642" w:firstLineChars="200"/>
        <w:rPr>
          <w:rFonts w:eastAsia="仿宋_GB2312" w:cs="仿宋_GB2312"/>
          <w:color w:val="000000"/>
          <w:sz w:val="32"/>
          <w:szCs w:val="32"/>
          <w:shd w:val="clear" w:color="auto" w:fill="FFFFFF"/>
        </w:rPr>
      </w:pPr>
      <w:r>
        <w:rPr>
          <w:rFonts w:hint="eastAsia" w:ascii="楷体_GB2312" w:hAnsi="宋体" w:eastAsia="楷体_GB2312"/>
          <w:b/>
          <w:sz w:val="32"/>
          <w:szCs w:val="32"/>
          <w:lang w:val="zh-CN"/>
        </w:rPr>
        <w:t>（二）存在的问题。</w:t>
      </w:r>
      <w:r>
        <w:rPr>
          <w:rFonts w:hint="eastAsia" w:ascii="仿宋_GB2312" w:hAnsi="仿宋_GB2312" w:cs="仿宋_GB2312"/>
          <w:kern w:val="0"/>
          <w:sz w:val="32"/>
          <w:szCs w:val="32"/>
          <w:shd w:val="clear" w:color="auto" w:fill="FFFFFF"/>
          <w:lang w:val="zh-CN"/>
        </w:rPr>
        <w:t>无</w:t>
      </w:r>
    </w:p>
    <w:p>
      <w:pPr>
        <w:pBdr>
          <w:top w:val="single" w:color="FFFFFF" w:sz="4" w:space="0"/>
          <w:left w:val="single" w:color="FFFFFF" w:sz="4" w:space="31"/>
          <w:bottom w:val="single" w:color="FFFFFF" w:sz="4" w:space="31"/>
          <w:right w:val="single" w:color="FFFFFF" w:sz="4" w:space="0"/>
        </w:pBdr>
        <w:adjustRightInd w:val="0"/>
        <w:snapToGrid w:val="0"/>
        <w:spacing w:line="560" w:lineRule="exact"/>
        <w:ind w:firstLine="642" w:firstLineChars="200"/>
        <w:rPr>
          <w:rFonts w:eastAsia="仿宋_GB2312" w:cs="仿宋_GB2312"/>
          <w:color w:val="000000"/>
          <w:sz w:val="32"/>
          <w:szCs w:val="32"/>
          <w:shd w:val="clear" w:color="auto" w:fill="FFFFFF"/>
        </w:rPr>
      </w:pPr>
      <w:r>
        <w:rPr>
          <w:rFonts w:hint="eastAsia" w:ascii="楷体_GB2312" w:hAnsi="宋体" w:eastAsia="楷体_GB2312"/>
          <w:b/>
          <w:sz w:val="32"/>
          <w:szCs w:val="32"/>
          <w:lang w:val="zh-CN"/>
        </w:rPr>
        <w:t>（三）相关建议。</w:t>
      </w:r>
    </w:p>
    <w:p>
      <w:pPr>
        <w:pBdr>
          <w:top w:val="single" w:color="FFFFFF" w:sz="4" w:space="0"/>
          <w:left w:val="single" w:color="FFFFFF" w:sz="4" w:space="31"/>
          <w:bottom w:val="single" w:color="FFFFFF" w:sz="4" w:space="31"/>
          <w:right w:val="single" w:color="FFFFFF" w:sz="4" w:space="0"/>
        </w:pBdr>
        <w:adjustRightInd w:val="0"/>
        <w:snapToGrid w:val="0"/>
        <w:spacing w:line="560" w:lineRule="exact"/>
        <w:ind w:firstLine="640" w:firstLineChars="200"/>
        <w:rPr>
          <w:rFonts w:eastAsia="仿宋_GB2312" w:cs="仿宋_GB2312"/>
          <w:color w:val="000000"/>
          <w:sz w:val="32"/>
          <w:szCs w:val="32"/>
          <w:shd w:val="clear" w:color="auto" w:fill="FFFFFF"/>
        </w:rPr>
      </w:pPr>
      <w:r>
        <w:rPr>
          <w:rFonts w:hint="eastAsia" w:ascii="仿宋_GB2312" w:eastAsia="仿宋_GB2312"/>
          <w:sz w:val="32"/>
          <w:szCs w:val="32"/>
        </w:rPr>
        <w:t>1.强化预算绩效管理。继续深入实施预算管理绩效评价工作，结合绩效监督结果安排预算，变简单追求支出进度为追求预算绩效质量。严格委机关预算管理办法，进一步加强预算分配、管理、使用、监督等环节的职责任务。根据当前市委、市政府关于预算绩效管理的相关政策，适时完善机关预算绩效管理等制度，建立规范有序的预算绩效管理体系。</w:t>
      </w:r>
    </w:p>
    <w:p>
      <w:pPr>
        <w:pBdr>
          <w:top w:val="single" w:color="FFFFFF" w:sz="4" w:space="0"/>
          <w:left w:val="single" w:color="FFFFFF" w:sz="4" w:space="31"/>
          <w:bottom w:val="single" w:color="FFFFFF" w:sz="4" w:space="31"/>
          <w:right w:val="single" w:color="FFFFFF" w:sz="4" w:space="0"/>
        </w:pBdr>
        <w:adjustRightInd w:val="0"/>
        <w:snapToGrid w:val="0"/>
        <w:spacing w:line="560" w:lineRule="exact"/>
        <w:ind w:firstLine="640" w:firstLineChars="200"/>
        <w:rPr>
          <w:rFonts w:eastAsia="仿宋_GB2312" w:cs="仿宋_GB2312"/>
          <w:color w:val="000000"/>
          <w:sz w:val="32"/>
          <w:szCs w:val="32"/>
          <w:shd w:val="clear" w:color="auto" w:fill="FFFFFF"/>
        </w:rPr>
      </w:pPr>
      <w:r>
        <w:rPr>
          <w:rFonts w:hint="eastAsia" w:ascii="仿宋_GB2312" w:eastAsia="仿宋_GB2312"/>
          <w:sz w:val="32"/>
          <w:szCs w:val="32"/>
        </w:rPr>
        <w:t>2.加强工作交流培训，提高业务水平。加强财务基础工作，定期安排财务人员集中开展继续教育，提升会计核算质量。每年编制部门预算前，采取学习考察、工作调研、业务交流等形式，对预算部门开展多层次的业务培训，促使财务人员理解掌握部门预算编制和执行中的程序、方法和技巧以及可能涉及到的政策法规、工作制度，以规范预算管理、规避财务风险、提高预算管理水平</w:t>
      </w:r>
      <w:r>
        <w:rPr>
          <w:rFonts w:hint="eastAsia" w:ascii="仿宋_GB2312" w:hAnsi="仿宋_GB2312" w:eastAsia="仿宋_GB2312" w:cs="仿宋_GB2312"/>
          <w:kern w:val="0"/>
          <w:sz w:val="32"/>
          <w:szCs w:val="32"/>
          <w:shd w:val="clear" w:color="auto" w:fill="FFFFFF"/>
          <w:lang w:val="zh-CN"/>
        </w:rPr>
        <w:t xml:space="preserve"> </w:t>
      </w:r>
    </w:p>
    <w:p>
      <w:pPr>
        <w:widowControl/>
        <w:adjustRightInd w:val="0"/>
        <w:snapToGrid w:val="0"/>
        <w:spacing w:line="560"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附表：</w:t>
      </w:r>
    </w:p>
    <w:p>
      <w:pPr>
        <w:spacing w:line="560" w:lineRule="exac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市级主管部门项目资金分配涉及所有点位自评得分情况表</w:t>
      </w:r>
    </w:p>
    <w:tbl>
      <w:tblPr>
        <w:tblStyle w:val="19"/>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3895"/>
        <w:gridCol w:w="2899"/>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9" w:type="dxa"/>
          </w:tcPr>
          <w:p>
            <w:pPr>
              <w:spacing w:line="560" w:lineRule="exact"/>
              <w:rPr>
                <w:rFonts w:ascii="黑体" w:hAnsi="黑体" w:eastAsia="黑体" w:cs="黑体"/>
                <w:sz w:val="28"/>
                <w:szCs w:val="28"/>
              </w:rPr>
            </w:pPr>
            <w:r>
              <w:rPr>
                <w:rFonts w:hint="eastAsia" w:ascii="黑体" w:hAnsi="黑体" w:eastAsia="黑体" w:cs="黑体"/>
                <w:sz w:val="28"/>
                <w:szCs w:val="28"/>
              </w:rPr>
              <w:t>序号</w:t>
            </w:r>
          </w:p>
        </w:tc>
        <w:tc>
          <w:tcPr>
            <w:tcW w:w="3895" w:type="dxa"/>
          </w:tcPr>
          <w:p>
            <w:pPr>
              <w:spacing w:line="560" w:lineRule="exact"/>
              <w:rPr>
                <w:rFonts w:ascii="黑体" w:hAnsi="黑体" w:eastAsia="黑体" w:cs="黑体"/>
                <w:sz w:val="28"/>
                <w:szCs w:val="28"/>
              </w:rPr>
            </w:pPr>
            <w:r>
              <w:rPr>
                <w:rFonts w:hint="eastAsia" w:ascii="黑体" w:hAnsi="黑体" w:eastAsia="黑体" w:cs="黑体"/>
                <w:sz w:val="28"/>
                <w:szCs w:val="28"/>
              </w:rPr>
              <w:t>项目资金末端分配点位</w:t>
            </w:r>
          </w:p>
        </w:tc>
        <w:tc>
          <w:tcPr>
            <w:tcW w:w="2899" w:type="dxa"/>
          </w:tcPr>
          <w:p>
            <w:pPr>
              <w:spacing w:line="560" w:lineRule="exact"/>
              <w:rPr>
                <w:rFonts w:ascii="黑体" w:hAnsi="黑体" w:eastAsia="黑体" w:cs="黑体"/>
                <w:sz w:val="28"/>
                <w:szCs w:val="28"/>
              </w:rPr>
            </w:pPr>
            <w:r>
              <w:rPr>
                <w:rFonts w:hint="eastAsia" w:ascii="黑体" w:hAnsi="黑体" w:eastAsia="黑体" w:cs="黑体"/>
                <w:sz w:val="28"/>
                <w:szCs w:val="28"/>
              </w:rPr>
              <w:t>自评得分（百分制）</w:t>
            </w:r>
          </w:p>
        </w:tc>
        <w:tc>
          <w:tcPr>
            <w:tcW w:w="1007" w:type="dxa"/>
          </w:tcPr>
          <w:p>
            <w:pPr>
              <w:spacing w:line="560" w:lineRule="exact"/>
              <w:rPr>
                <w:rFonts w:ascii="黑体" w:hAnsi="黑体" w:eastAsia="黑体" w:cs="黑体"/>
                <w:sz w:val="28"/>
                <w:szCs w:val="28"/>
              </w:rPr>
            </w:pPr>
            <w:r>
              <w:rPr>
                <w:rFonts w:hint="eastAsia" w:ascii="黑体" w:hAnsi="黑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spacing w:line="560" w:lineRule="exact"/>
              <w:rPr>
                <w:rFonts w:ascii="宋体" w:hAnsi="宋体" w:cs="宋体"/>
                <w:sz w:val="28"/>
                <w:szCs w:val="28"/>
              </w:rPr>
            </w:pPr>
            <w:r>
              <w:rPr>
                <w:rFonts w:hint="eastAsia" w:ascii="宋体" w:hAnsi="宋体" w:cs="宋体"/>
                <w:sz w:val="28"/>
                <w:szCs w:val="28"/>
              </w:rPr>
              <w:t>1</w:t>
            </w:r>
          </w:p>
        </w:tc>
        <w:tc>
          <w:tcPr>
            <w:tcW w:w="3895" w:type="dxa"/>
          </w:tcPr>
          <w:p>
            <w:pPr>
              <w:spacing w:line="560" w:lineRule="exact"/>
              <w:rPr>
                <w:rFonts w:ascii="宋体" w:hAnsi="宋体" w:cs="宋体"/>
                <w:sz w:val="28"/>
                <w:szCs w:val="28"/>
              </w:rPr>
            </w:pPr>
            <w:r>
              <w:rPr>
                <w:rFonts w:hint="eastAsia" w:ascii="宋体" w:hAnsi="宋体" w:cs="宋体"/>
                <w:sz w:val="28"/>
                <w:szCs w:val="28"/>
              </w:rPr>
              <w:t>市委政法委</w:t>
            </w:r>
          </w:p>
        </w:tc>
        <w:tc>
          <w:tcPr>
            <w:tcW w:w="2899" w:type="dxa"/>
          </w:tcPr>
          <w:p>
            <w:pPr>
              <w:spacing w:line="560" w:lineRule="exact"/>
              <w:rPr>
                <w:rFonts w:ascii="宋体" w:hAnsi="宋体" w:cs="宋体"/>
                <w:sz w:val="28"/>
                <w:szCs w:val="28"/>
              </w:rPr>
            </w:pPr>
            <w:r>
              <w:rPr>
                <w:rFonts w:hint="eastAsia" w:ascii="宋体" w:hAnsi="宋体" w:cs="宋体"/>
                <w:sz w:val="28"/>
                <w:szCs w:val="28"/>
              </w:rPr>
              <w:t>100分</w:t>
            </w:r>
          </w:p>
        </w:tc>
        <w:tc>
          <w:tcPr>
            <w:tcW w:w="1007" w:type="dxa"/>
          </w:tcPr>
          <w:p>
            <w:pPr>
              <w:spacing w:line="560" w:lineRule="exac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spacing w:line="560" w:lineRule="exact"/>
              <w:rPr>
                <w:rFonts w:ascii="宋体" w:hAnsi="宋体" w:cs="宋体"/>
                <w:sz w:val="28"/>
                <w:szCs w:val="28"/>
              </w:rPr>
            </w:pPr>
            <w:r>
              <w:rPr>
                <w:rFonts w:hint="eastAsia" w:ascii="宋体" w:hAnsi="宋体" w:cs="宋体"/>
                <w:sz w:val="28"/>
                <w:szCs w:val="28"/>
              </w:rPr>
              <w:t>2</w:t>
            </w:r>
          </w:p>
        </w:tc>
        <w:tc>
          <w:tcPr>
            <w:tcW w:w="3895" w:type="dxa"/>
          </w:tcPr>
          <w:p>
            <w:pPr>
              <w:spacing w:line="560" w:lineRule="exact"/>
              <w:rPr>
                <w:rFonts w:ascii="宋体" w:hAnsi="宋体" w:cs="宋体"/>
                <w:sz w:val="28"/>
                <w:szCs w:val="28"/>
              </w:rPr>
            </w:pPr>
          </w:p>
        </w:tc>
        <w:tc>
          <w:tcPr>
            <w:tcW w:w="2899" w:type="dxa"/>
          </w:tcPr>
          <w:p>
            <w:pPr>
              <w:spacing w:line="560" w:lineRule="exact"/>
              <w:rPr>
                <w:rFonts w:ascii="宋体" w:hAnsi="宋体" w:cs="宋体"/>
                <w:sz w:val="28"/>
                <w:szCs w:val="28"/>
              </w:rPr>
            </w:pPr>
          </w:p>
        </w:tc>
        <w:tc>
          <w:tcPr>
            <w:tcW w:w="1007" w:type="dxa"/>
          </w:tcPr>
          <w:p>
            <w:pPr>
              <w:spacing w:line="560" w:lineRule="exac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spacing w:line="560" w:lineRule="exact"/>
              <w:rPr>
                <w:rFonts w:ascii="宋体" w:hAnsi="宋体" w:cs="宋体"/>
                <w:sz w:val="28"/>
                <w:szCs w:val="28"/>
              </w:rPr>
            </w:pPr>
            <w:r>
              <w:rPr>
                <w:rFonts w:hint="eastAsia" w:ascii="宋体" w:hAnsi="宋体" w:cs="宋体"/>
                <w:sz w:val="28"/>
                <w:szCs w:val="28"/>
              </w:rPr>
              <w:t>3</w:t>
            </w:r>
          </w:p>
        </w:tc>
        <w:tc>
          <w:tcPr>
            <w:tcW w:w="3895" w:type="dxa"/>
          </w:tcPr>
          <w:p>
            <w:pPr>
              <w:spacing w:line="560" w:lineRule="exact"/>
              <w:rPr>
                <w:rFonts w:ascii="宋体" w:hAnsi="宋体" w:cs="宋体"/>
                <w:sz w:val="28"/>
                <w:szCs w:val="28"/>
              </w:rPr>
            </w:pPr>
          </w:p>
        </w:tc>
        <w:tc>
          <w:tcPr>
            <w:tcW w:w="2899" w:type="dxa"/>
          </w:tcPr>
          <w:p>
            <w:pPr>
              <w:spacing w:line="560" w:lineRule="exact"/>
              <w:rPr>
                <w:rFonts w:ascii="宋体" w:hAnsi="宋体" w:cs="宋体"/>
                <w:sz w:val="28"/>
                <w:szCs w:val="28"/>
              </w:rPr>
            </w:pPr>
          </w:p>
        </w:tc>
        <w:tc>
          <w:tcPr>
            <w:tcW w:w="1007" w:type="dxa"/>
          </w:tcPr>
          <w:p>
            <w:pPr>
              <w:spacing w:line="560" w:lineRule="exac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spacing w:line="560" w:lineRule="exact"/>
              <w:rPr>
                <w:rFonts w:ascii="宋体" w:hAnsi="宋体" w:cs="宋体"/>
                <w:sz w:val="28"/>
                <w:szCs w:val="28"/>
              </w:rPr>
            </w:pPr>
            <w:r>
              <w:rPr>
                <w:rFonts w:hint="eastAsia" w:ascii="宋体" w:hAnsi="宋体" w:cs="宋体"/>
                <w:sz w:val="28"/>
                <w:szCs w:val="28"/>
              </w:rPr>
              <w:t>4</w:t>
            </w:r>
          </w:p>
        </w:tc>
        <w:tc>
          <w:tcPr>
            <w:tcW w:w="3895" w:type="dxa"/>
          </w:tcPr>
          <w:p>
            <w:pPr>
              <w:spacing w:line="560" w:lineRule="exact"/>
              <w:rPr>
                <w:rFonts w:ascii="宋体" w:hAnsi="宋体" w:cs="宋体"/>
                <w:sz w:val="28"/>
                <w:szCs w:val="28"/>
              </w:rPr>
            </w:pPr>
          </w:p>
        </w:tc>
        <w:tc>
          <w:tcPr>
            <w:tcW w:w="2899" w:type="dxa"/>
          </w:tcPr>
          <w:p>
            <w:pPr>
              <w:spacing w:line="560" w:lineRule="exact"/>
              <w:rPr>
                <w:rFonts w:ascii="宋体" w:hAnsi="宋体" w:cs="宋体"/>
                <w:sz w:val="28"/>
                <w:szCs w:val="28"/>
              </w:rPr>
            </w:pPr>
          </w:p>
        </w:tc>
        <w:tc>
          <w:tcPr>
            <w:tcW w:w="1007" w:type="dxa"/>
          </w:tcPr>
          <w:p>
            <w:pPr>
              <w:spacing w:line="560" w:lineRule="exac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spacing w:line="560" w:lineRule="exact"/>
              <w:rPr>
                <w:rFonts w:ascii="宋体" w:hAnsi="宋体" w:cs="宋体"/>
                <w:sz w:val="28"/>
                <w:szCs w:val="28"/>
              </w:rPr>
            </w:pPr>
            <w:r>
              <w:rPr>
                <w:rFonts w:hint="eastAsia" w:ascii="宋体" w:hAnsi="宋体" w:cs="宋体"/>
                <w:sz w:val="28"/>
                <w:szCs w:val="28"/>
              </w:rPr>
              <w:t>5</w:t>
            </w:r>
          </w:p>
        </w:tc>
        <w:tc>
          <w:tcPr>
            <w:tcW w:w="3895" w:type="dxa"/>
          </w:tcPr>
          <w:p>
            <w:pPr>
              <w:spacing w:line="560" w:lineRule="exact"/>
              <w:rPr>
                <w:rFonts w:ascii="宋体" w:hAnsi="宋体" w:cs="宋体"/>
                <w:sz w:val="28"/>
                <w:szCs w:val="28"/>
              </w:rPr>
            </w:pPr>
          </w:p>
        </w:tc>
        <w:tc>
          <w:tcPr>
            <w:tcW w:w="2899" w:type="dxa"/>
          </w:tcPr>
          <w:p>
            <w:pPr>
              <w:spacing w:line="560" w:lineRule="exact"/>
              <w:rPr>
                <w:rFonts w:ascii="宋体" w:hAnsi="宋体" w:cs="宋体"/>
                <w:sz w:val="28"/>
                <w:szCs w:val="28"/>
              </w:rPr>
            </w:pPr>
          </w:p>
        </w:tc>
        <w:tc>
          <w:tcPr>
            <w:tcW w:w="1007" w:type="dxa"/>
          </w:tcPr>
          <w:p>
            <w:pPr>
              <w:spacing w:line="560" w:lineRule="exac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spacing w:line="560" w:lineRule="exact"/>
              <w:rPr>
                <w:rFonts w:ascii="宋体" w:hAnsi="宋体" w:cs="宋体"/>
                <w:sz w:val="28"/>
                <w:szCs w:val="28"/>
              </w:rPr>
            </w:pPr>
            <w:r>
              <w:rPr>
                <w:rFonts w:hint="eastAsia" w:ascii="宋体" w:hAnsi="宋体" w:cs="宋体"/>
                <w:sz w:val="28"/>
                <w:szCs w:val="28"/>
              </w:rPr>
              <w:t>6</w:t>
            </w:r>
          </w:p>
        </w:tc>
        <w:tc>
          <w:tcPr>
            <w:tcW w:w="3895" w:type="dxa"/>
          </w:tcPr>
          <w:p>
            <w:pPr>
              <w:spacing w:line="560" w:lineRule="exact"/>
              <w:rPr>
                <w:rFonts w:ascii="宋体" w:hAnsi="宋体" w:cs="宋体"/>
                <w:sz w:val="28"/>
                <w:szCs w:val="28"/>
              </w:rPr>
            </w:pPr>
          </w:p>
        </w:tc>
        <w:tc>
          <w:tcPr>
            <w:tcW w:w="2899" w:type="dxa"/>
          </w:tcPr>
          <w:p>
            <w:pPr>
              <w:spacing w:line="560" w:lineRule="exact"/>
              <w:rPr>
                <w:rFonts w:ascii="宋体" w:hAnsi="宋体" w:cs="宋体"/>
                <w:sz w:val="28"/>
                <w:szCs w:val="28"/>
              </w:rPr>
            </w:pPr>
          </w:p>
        </w:tc>
        <w:tc>
          <w:tcPr>
            <w:tcW w:w="1007" w:type="dxa"/>
          </w:tcPr>
          <w:p>
            <w:pPr>
              <w:spacing w:line="560" w:lineRule="exac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spacing w:line="560" w:lineRule="exact"/>
              <w:rPr>
                <w:rFonts w:ascii="宋体" w:hAnsi="宋体" w:cs="宋体"/>
                <w:sz w:val="28"/>
                <w:szCs w:val="28"/>
              </w:rPr>
            </w:pPr>
            <w:r>
              <w:rPr>
                <w:rFonts w:hint="eastAsia" w:ascii="宋体" w:hAnsi="宋体" w:cs="宋体"/>
                <w:sz w:val="28"/>
                <w:szCs w:val="28"/>
              </w:rPr>
              <w:t>7</w:t>
            </w:r>
          </w:p>
        </w:tc>
        <w:tc>
          <w:tcPr>
            <w:tcW w:w="3895" w:type="dxa"/>
          </w:tcPr>
          <w:p>
            <w:pPr>
              <w:spacing w:line="560" w:lineRule="exact"/>
              <w:rPr>
                <w:rFonts w:ascii="宋体" w:hAnsi="宋体" w:cs="宋体"/>
                <w:sz w:val="28"/>
                <w:szCs w:val="28"/>
              </w:rPr>
            </w:pPr>
          </w:p>
        </w:tc>
        <w:tc>
          <w:tcPr>
            <w:tcW w:w="2899" w:type="dxa"/>
          </w:tcPr>
          <w:p>
            <w:pPr>
              <w:spacing w:line="560" w:lineRule="exact"/>
              <w:rPr>
                <w:rFonts w:ascii="宋体" w:hAnsi="宋体" w:cs="宋体"/>
                <w:sz w:val="28"/>
                <w:szCs w:val="28"/>
              </w:rPr>
            </w:pPr>
          </w:p>
        </w:tc>
        <w:tc>
          <w:tcPr>
            <w:tcW w:w="1007" w:type="dxa"/>
          </w:tcPr>
          <w:p>
            <w:pPr>
              <w:spacing w:line="560" w:lineRule="exac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spacing w:line="560" w:lineRule="exact"/>
              <w:rPr>
                <w:rFonts w:ascii="宋体" w:hAnsi="宋体" w:cs="宋体"/>
                <w:sz w:val="28"/>
                <w:szCs w:val="28"/>
              </w:rPr>
            </w:pPr>
            <w:r>
              <w:rPr>
                <w:rFonts w:hint="eastAsia" w:ascii="宋体" w:hAnsi="宋体" w:cs="宋体"/>
                <w:sz w:val="28"/>
                <w:szCs w:val="28"/>
              </w:rPr>
              <w:t>8</w:t>
            </w:r>
          </w:p>
        </w:tc>
        <w:tc>
          <w:tcPr>
            <w:tcW w:w="3895" w:type="dxa"/>
          </w:tcPr>
          <w:p>
            <w:pPr>
              <w:spacing w:line="560" w:lineRule="exact"/>
              <w:rPr>
                <w:rFonts w:ascii="宋体" w:hAnsi="宋体" w:cs="宋体"/>
                <w:sz w:val="28"/>
                <w:szCs w:val="28"/>
              </w:rPr>
            </w:pPr>
          </w:p>
        </w:tc>
        <w:tc>
          <w:tcPr>
            <w:tcW w:w="2899" w:type="dxa"/>
          </w:tcPr>
          <w:p>
            <w:pPr>
              <w:spacing w:line="560" w:lineRule="exact"/>
              <w:rPr>
                <w:rFonts w:ascii="宋体" w:hAnsi="宋体" w:cs="宋体"/>
                <w:sz w:val="28"/>
                <w:szCs w:val="28"/>
              </w:rPr>
            </w:pPr>
          </w:p>
        </w:tc>
        <w:tc>
          <w:tcPr>
            <w:tcW w:w="1007" w:type="dxa"/>
          </w:tcPr>
          <w:p>
            <w:pPr>
              <w:spacing w:line="560" w:lineRule="exac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spacing w:line="560" w:lineRule="exact"/>
              <w:rPr>
                <w:rFonts w:ascii="宋体" w:hAnsi="宋体" w:cs="宋体"/>
                <w:sz w:val="28"/>
                <w:szCs w:val="28"/>
              </w:rPr>
            </w:pPr>
            <w:r>
              <w:rPr>
                <w:rFonts w:hint="eastAsia" w:ascii="宋体" w:hAnsi="宋体" w:cs="宋体"/>
                <w:sz w:val="28"/>
                <w:szCs w:val="28"/>
              </w:rPr>
              <w:t>……</w:t>
            </w:r>
          </w:p>
        </w:tc>
        <w:tc>
          <w:tcPr>
            <w:tcW w:w="3895" w:type="dxa"/>
          </w:tcPr>
          <w:p>
            <w:pPr>
              <w:spacing w:line="560" w:lineRule="exact"/>
              <w:rPr>
                <w:rFonts w:ascii="宋体" w:hAnsi="宋体" w:cs="宋体"/>
                <w:sz w:val="28"/>
                <w:szCs w:val="28"/>
              </w:rPr>
            </w:pPr>
          </w:p>
        </w:tc>
        <w:tc>
          <w:tcPr>
            <w:tcW w:w="2899" w:type="dxa"/>
          </w:tcPr>
          <w:p>
            <w:pPr>
              <w:spacing w:line="560" w:lineRule="exact"/>
              <w:rPr>
                <w:rFonts w:ascii="宋体" w:hAnsi="宋体" w:cs="宋体"/>
                <w:sz w:val="28"/>
                <w:szCs w:val="28"/>
              </w:rPr>
            </w:pPr>
          </w:p>
        </w:tc>
        <w:tc>
          <w:tcPr>
            <w:tcW w:w="1007" w:type="dxa"/>
          </w:tcPr>
          <w:p>
            <w:pPr>
              <w:spacing w:line="560" w:lineRule="exact"/>
              <w:rPr>
                <w:rFonts w:ascii="宋体" w:hAnsi="宋体" w:cs="宋体"/>
                <w:sz w:val="28"/>
                <w:szCs w:val="28"/>
              </w:rPr>
            </w:pPr>
          </w:p>
        </w:tc>
      </w:tr>
    </w:tbl>
    <w:p>
      <w:pPr>
        <w:spacing w:line="560" w:lineRule="exact"/>
        <w:rPr>
          <w:rFonts w:ascii="仿宋_GB2312" w:hAnsi="宋体" w:eastAsia="仿宋_GB2312" w:cs="宋体"/>
          <w:szCs w:val="21"/>
        </w:rPr>
      </w:pPr>
      <w:r>
        <w:rPr>
          <w:rFonts w:hint="eastAsia" w:ascii="仿宋_GB2312" w:hAnsi="宋体" w:eastAsia="仿宋_GB2312" w:cs="宋体"/>
          <w:szCs w:val="21"/>
        </w:rPr>
        <w:t>备注：1、项目资金末端分配点位包括县（区）、市级部门下属单位及一次性单位等。</w:t>
      </w:r>
    </w:p>
    <w:p>
      <w:pPr>
        <w:spacing w:line="560" w:lineRule="exact"/>
        <w:rPr>
          <w:rFonts w:ascii="仿宋_GB2312" w:hAnsi="宋体" w:eastAsia="仿宋_GB2312" w:cs="宋体"/>
          <w:szCs w:val="21"/>
        </w:rPr>
      </w:pPr>
      <w:r>
        <w:rPr>
          <w:rFonts w:hint="eastAsia" w:ascii="仿宋_GB2312" w:hAnsi="宋体" w:eastAsia="仿宋_GB2312" w:cs="宋体"/>
          <w:szCs w:val="21"/>
        </w:rPr>
        <w:t xml:space="preserve">      2、自评得分（百分制）从高到低划分为优、良、中、差四个档次，各个档次数量占比分别为20%、20%、55%、5%，且不同档次间得分分值应体现差异化，同档次得分分值相同的比例不超过该档次总数量的10%。</w:t>
      </w:r>
    </w:p>
    <w:p>
      <w:pPr>
        <w:pStyle w:val="43"/>
        <w:spacing w:line="560" w:lineRule="exact"/>
        <w:rPr>
          <w:rFonts w:ascii="方正小标宋简体" w:hAnsi="方正小标宋简体" w:eastAsia="方正小标宋简体" w:cs="方正小标宋简体"/>
          <w:color w:val="auto"/>
          <w:sz w:val="44"/>
          <w:szCs w:val="44"/>
        </w:rPr>
      </w:pPr>
      <w:bookmarkStart w:id="59" w:name="_Toc15396618"/>
    </w:p>
    <w:p>
      <w:pPr>
        <w:pStyle w:val="43"/>
        <w:spacing w:line="560" w:lineRule="exact"/>
        <w:rPr>
          <w:rFonts w:ascii="方正小标宋简体" w:hAnsi="方正小标宋简体" w:eastAsia="方正小标宋简体" w:cs="方正小标宋简体"/>
          <w:color w:val="auto"/>
          <w:sz w:val="44"/>
          <w:szCs w:val="44"/>
        </w:rPr>
      </w:pPr>
    </w:p>
    <w:p>
      <w:pPr>
        <w:pStyle w:val="43"/>
        <w:spacing w:line="560" w:lineRule="exact"/>
        <w:rPr>
          <w:rFonts w:ascii="方正小标宋简体" w:hAnsi="方正小标宋简体" w:eastAsia="方正小标宋简体" w:cs="方正小标宋简体"/>
          <w:color w:val="auto"/>
          <w:sz w:val="44"/>
          <w:szCs w:val="44"/>
        </w:rPr>
      </w:pPr>
    </w:p>
    <w:p>
      <w:pPr>
        <w:pStyle w:val="43"/>
        <w:spacing w:line="560" w:lineRule="exact"/>
        <w:rPr>
          <w:rFonts w:ascii="方正小标宋简体" w:hAnsi="方正小标宋简体" w:eastAsia="方正小标宋简体" w:cs="方正小标宋简体"/>
          <w:color w:val="auto"/>
          <w:sz w:val="44"/>
          <w:szCs w:val="44"/>
        </w:rPr>
      </w:pPr>
    </w:p>
    <w:p>
      <w:pPr>
        <w:pStyle w:val="43"/>
        <w:spacing w:line="560" w:lineRule="exact"/>
        <w:rPr>
          <w:rFonts w:ascii="方正小标宋简体" w:hAnsi="方正小标宋简体" w:eastAsia="方正小标宋简体" w:cs="方正小标宋简体"/>
          <w:color w:val="auto"/>
          <w:sz w:val="44"/>
          <w:szCs w:val="44"/>
        </w:rPr>
      </w:pPr>
    </w:p>
    <w:p>
      <w:pPr>
        <w:pStyle w:val="43"/>
        <w:spacing w:line="560" w:lineRule="exact"/>
        <w:rPr>
          <w:rFonts w:ascii="方正小标宋简体" w:hAnsi="方正小标宋简体" w:eastAsia="方正小标宋简体" w:cs="方正小标宋简体"/>
          <w:color w:val="auto"/>
          <w:sz w:val="44"/>
          <w:szCs w:val="44"/>
        </w:rPr>
      </w:pPr>
    </w:p>
    <w:p>
      <w:pPr>
        <w:pStyle w:val="43"/>
        <w:spacing w:line="560" w:lineRule="exact"/>
        <w:rPr>
          <w:rFonts w:ascii="方正小标宋简体" w:hAnsi="方正小标宋简体" w:eastAsia="方正小标宋简体" w:cs="方正小标宋简体"/>
          <w:color w:val="auto"/>
          <w:sz w:val="44"/>
          <w:szCs w:val="44"/>
        </w:rPr>
      </w:pPr>
    </w:p>
    <w:p>
      <w:pPr>
        <w:pStyle w:val="43"/>
        <w:spacing w:line="560" w:lineRule="exact"/>
        <w:rPr>
          <w:rFonts w:ascii="方正小标宋简体" w:hAnsi="方正小标宋简体" w:eastAsia="方正小标宋简体" w:cs="方正小标宋简体"/>
          <w:color w:val="auto"/>
          <w:sz w:val="44"/>
          <w:szCs w:val="44"/>
        </w:rPr>
      </w:pPr>
    </w:p>
    <w:p>
      <w:pPr>
        <w:pStyle w:val="43"/>
        <w:spacing w:line="560" w:lineRule="exact"/>
        <w:rPr>
          <w:rFonts w:ascii="方正小标宋简体" w:hAnsi="方正小标宋简体" w:eastAsia="方正小标宋简体" w:cs="方正小标宋简体"/>
          <w:color w:val="auto"/>
          <w:sz w:val="44"/>
          <w:szCs w:val="44"/>
        </w:rPr>
      </w:pPr>
    </w:p>
    <w:p>
      <w:pPr>
        <w:pStyle w:val="43"/>
        <w:spacing w:line="560" w:lineRule="exact"/>
        <w:rPr>
          <w:rFonts w:ascii="方正小标宋简体" w:hAnsi="方正小标宋简体" w:eastAsia="方正小标宋简体" w:cs="方正小标宋简体"/>
          <w:color w:val="auto"/>
          <w:sz w:val="44"/>
          <w:szCs w:val="44"/>
        </w:rPr>
      </w:pPr>
    </w:p>
    <w:p>
      <w:pPr>
        <w:pStyle w:val="43"/>
        <w:spacing w:line="560" w:lineRule="exact"/>
        <w:rPr>
          <w:rFonts w:ascii="方正小标宋简体" w:hAnsi="方正小标宋简体" w:eastAsia="方正小标宋简体" w:cs="方正小标宋简体"/>
          <w:color w:val="auto"/>
          <w:sz w:val="44"/>
          <w:szCs w:val="44"/>
        </w:rPr>
      </w:pPr>
    </w:p>
    <w:p>
      <w:pPr>
        <w:pStyle w:val="43"/>
        <w:spacing w:line="560" w:lineRule="exact"/>
        <w:rPr>
          <w:rFonts w:ascii="方正小标宋简体" w:hAnsi="方正小标宋简体" w:eastAsia="方正小标宋简体" w:cs="方正小标宋简体"/>
          <w:color w:val="auto"/>
          <w:sz w:val="44"/>
          <w:szCs w:val="44"/>
        </w:rPr>
      </w:pPr>
    </w:p>
    <w:p>
      <w:pPr>
        <w:pStyle w:val="43"/>
        <w:spacing w:line="560" w:lineRule="exact"/>
        <w:rPr>
          <w:rFonts w:ascii="方正小标宋简体" w:hAnsi="方正小标宋简体" w:eastAsia="方正小标宋简体" w:cs="方正小标宋简体"/>
          <w:color w:val="auto"/>
          <w:sz w:val="44"/>
          <w:szCs w:val="44"/>
        </w:rPr>
      </w:pPr>
    </w:p>
    <w:p>
      <w:pPr>
        <w:pStyle w:val="43"/>
        <w:spacing w:line="560" w:lineRule="exact"/>
        <w:rPr>
          <w:rFonts w:ascii="方正小标宋简体" w:hAnsi="方正小标宋简体" w:eastAsia="方正小标宋简体" w:cs="方正小标宋简体"/>
          <w:color w:val="auto"/>
          <w:sz w:val="44"/>
          <w:szCs w:val="44"/>
        </w:rPr>
      </w:pPr>
    </w:p>
    <w:p>
      <w:pPr>
        <w:pStyle w:val="43"/>
        <w:spacing w:line="560" w:lineRule="exact"/>
        <w:rPr>
          <w:rFonts w:ascii="方正小标宋简体" w:hAnsi="方正小标宋简体" w:eastAsia="方正小标宋简体" w:cs="方正小标宋简体"/>
          <w:color w:val="auto"/>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宜宾市</w:t>
      </w:r>
      <w:r>
        <w:rPr>
          <w:rFonts w:hint="eastAsia" w:ascii="方正小标宋简体" w:hAnsi="方正小标宋_GBK" w:eastAsia="方正小标宋简体" w:cs="方正小标宋_GBK"/>
          <w:sz w:val="44"/>
          <w:szCs w:val="44"/>
        </w:rPr>
        <w:t>宜宾三江中心法务区专项</w:t>
      </w:r>
      <w:r>
        <w:rPr>
          <w:rFonts w:hint="eastAsia" w:ascii="方正小标宋简体" w:hAnsi="方正小标宋简体" w:eastAsia="方正小标宋简体" w:cs="方正小标宋简体"/>
          <w:sz w:val="44"/>
          <w:szCs w:val="44"/>
        </w:rPr>
        <w:t>资金</w:t>
      </w:r>
    </w:p>
    <w:p>
      <w:pPr>
        <w:pStyle w:val="43"/>
        <w:spacing w:line="560" w:lineRule="exact"/>
        <w:jc w:val="center"/>
        <w:rPr>
          <w:rFonts w:ascii="宋体" w:hAnsi="宋体"/>
          <w:color w:val="auto"/>
          <w:sz w:val="32"/>
          <w:szCs w:val="32"/>
        </w:rPr>
      </w:pPr>
      <w:r>
        <w:rPr>
          <w:rFonts w:hint="eastAsia" w:ascii="方正小标宋简体" w:hAnsi="方正小标宋简体" w:eastAsia="方正小标宋简体" w:cs="方正小标宋简体"/>
          <w:color w:val="auto"/>
          <w:sz w:val="44"/>
          <w:szCs w:val="44"/>
        </w:rPr>
        <w:t>绩效自评报告</w:t>
      </w:r>
    </w:p>
    <w:p>
      <w:pPr>
        <w:adjustRightInd w:val="0"/>
        <w:snapToGrid w:val="0"/>
        <w:spacing w:line="56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color w:val="000000"/>
          <w:sz w:val="32"/>
          <w:szCs w:val="32"/>
        </w:rPr>
        <w:t>随着三江新区的快速发展，越来越多的企业、大学和项目入驻和启动，对法律服务的需求也随之上升，对高标准建设三江中心法务区，筑巢引凤聚集更多优质法律服务资源要素，提升法律服务供给能力和水平也提出更高的要求。为持续向好、更加充分发挥三江中心法务区在服务全市平安建设中的法治保障作用</w:t>
      </w:r>
      <w:r>
        <w:rPr>
          <w:rFonts w:hint="eastAsia" w:ascii="仿宋_GB2312"/>
          <w:color w:val="000000"/>
          <w:sz w:val="32"/>
          <w:szCs w:val="32"/>
        </w:rPr>
        <w:t>，</w:t>
      </w:r>
      <w:r>
        <w:rPr>
          <w:rFonts w:hint="eastAsia" w:ascii="仿宋_GB2312" w:hAnsi="仿宋_GB2312" w:eastAsia="仿宋_GB2312" w:cs="仿宋_GB2312"/>
          <w:sz w:val="32"/>
          <w:szCs w:val="32"/>
        </w:rPr>
        <w:t>从今年的宜宾市平安建设专项资金中划拨</w:t>
      </w:r>
      <w:r>
        <w:rPr>
          <w:rFonts w:hint="eastAsia" w:ascii="仿宋_GB2312" w:hAnsi="仿宋_GB2312" w:cs="仿宋_GB2312"/>
          <w:sz w:val="32"/>
          <w:szCs w:val="32"/>
        </w:rPr>
        <w:t>300</w:t>
      </w:r>
      <w:r>
        <w:rPr>
          <w:rFonts w:hint="eastAsia" w:ascii="仿宋_GB2312" w:hAnsi="仿宋_GB2312" w:eastAsia="仿宋_GB2312" w:cs="仿宋_GB2312"/>
          <w:sz w:val="32"/>
          <w:szCs w:val="32"/>
        </w:rPr>
        <w:t>万元补助三江新区，主要用于三江中心法务区建设和升级打造等工作</w:t>
      </w:r>
      <w:r>
        <w:rPr>
          <w:rFonts w:hint="eastAsia" w:ascii="仿宋_GB2312" w:hAnsi="仿宋_GB2312" w:cs="仿宋_GB2312"/>
          <w:sz w:val="32"/>
          <w:szCs w:val="32"/>
        </w:rPr>
        <w:t>。</w:t>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spacing w:line="560" w:lineRule="exact"/>
        <w:ind w:firstLine="640" w:firstLineChars="200"/>
        <w:rPr>
          <w:rFonts w:ascii="仿宋_GB2312" w:eastAsia="仿宋_GB2312"/>
          <w:color w:val="000000"/>
          <w:sz w:val="32"/>
          <w:szCs w:val="32"/>
        </w:rPr>
      </w:pPr>
      <w:r>
        <w:rPr>
          <w:rFonts w:hint="eastAsia" w:ascii="仿宋_GB2312" w:hAnsi="仿宋_GB2312" w:eastAsia="仿宋_GB2312" w:cs="仿宋_GB2312"/>
          <w:sz w:val="32"/>
          <w:szCs w:val="32"/>
        </w:rPr>
        <w:t>为深入贯彻习近平法治思想和习近平总书记关于平安中国、法治中国建设的系列重要指示精神，全面落实党中央国务院、省委省政府各项决策部署，加快推进</w:t>
      </w:r>
      <w:r>
        <w:rPr>
          <w:rFonts w:hint="eastAsia" w:ascii="仿宋_GB2312" w:eastAsia="仿宋_GB2312"/>
          <w:color w:val="000000"/>
          <w:sz w:val="32"/>
          <w:szCs w:val="32"/>
        </w:rPr>
        <w:t>市委五届十次全会“加快把三江新区建成长江上游沿江第三个国家级新区，坚定不移统筹发展和安全，建设更高水平的法治宜宾和平安宜宾，深入推进依法治理、城乡基层治理，进一步提升治理能力现代化水平”安排部署，宜宾市</w:t>
      </w:r>
      <w:r>
        <w:rPr>
          <w:rFonts w:hint="eastAsia" w:ascii="仿宋_GB2312" w:hAnsi="仿宋_GB2312" w:eastAsia="仿宋_GB2312" w:cs="仿宋_GB2312"/>
          <w:sz w:val="32"/>
          <w:szCs w:val="32"/>
        </w:rPr>
        <w:t>三江新区党工委</w:t>
      </w:r>
      <w:r>
        <w:rPr>
          <w:rFonts w:hint="eastAsia" w:ascii="仿宋_GB2312" w:eastAsia="仿宋_GB2312"/>
          <w:color w:val="000000"/>
          <w:sz w:val="32"/>
          <w:szCs w:val="32"/>
        </w:rPr>
        <w:t>依据《四川省优化营商环境条例》、省委省政府《关于建设具有全国影响力的重要经济中心的实施意见》、市委市政府《关于加快宜宾三江新区高质量发展的意见》等政策，高标准推进宜宾三江中心法务区建设，着力</w:t>
      </w:r>
      <w:r>
        <w:rPr>
          <w:rFonts w:hint="eastAsia" w:ascii="仿宋_GB2312" w:hAnsi="仿宋_GB2312" w:eastAsia="仿宋_GB2312" w:cs="仿宋_GB2312"/>
          <w:sz w:val="32"/>
          <w:szCs w:val="32"/>
        </w:rPr>
        <w:t>打造三江新区基层治理样板区，为三江新区建成长江上游沿江第三个国家级新区提供坚强法治保障。</w:t>
      </w:r>
    </w:p>
    <w:p>
      <w:pPr>
        <w:spacing w:line="560" w:lineRule="exact"/>
        <w:ind w:firstLine="640" w:firstLineChars="200"/>
        <w:rPr>
          <w:rFonts w:ascii="仿宋_GB2312" w:hAnsi="仿宋_GB2312" w:eastAsia="仿宋_GB2312" w:cs="仿宋_GB2312"/>
          <w:kern w:val="0"/>
          <w:sz w:val="32"/>
          <w:szCs w:val="32"/>
          <w:shd w:val="clear" w:color="auto" w:fill="FFFFFF"/>
          <w:lang w:val="zh-CN"/>
        </w:rPr>
      </w:pPr>
      <w:r>
        <w:rPr>
          <w:rFonts w:eastAsia="仿宋_GB2312"/>
          <w:color w:val="000000"/>
          <w:sz w:val="32"/>
          <w:szCs w:val="32"/>
          <w:lang w:val="zh-CN"/>
        </w:rPr>
        <w:t>项目申报内容与具体实施内容相符、申报目标合理可行。</w:t>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560" w:lineRule="exact"/>
        <w:ind w:firstLine="720"/>
        <w:rPr>
          <w:rFonts w:ascii="仿宋_GB2312" w:eastAsia="仿宋_GB2312"/>
          <w:color w:val="000000"/>
          <w:sz w:val="32"/>
          <w:szCs w:val="32"/>
        </w:rPr>
      </w:pPr>
      <w:r>
        <w:rPr>
          <w:rFonts w:hint="eastAsia" w:ascii="仿宋_GB2312" w:eastAsia="仿宋_GB2312"/>
          <w:color w:val="000000"/>
          <w:sz w:val="32"/>
          <w:szCs w:val="32"/>
        </w:rPr>
        <w:t>此项目从项目决策、项目实施、完成结果三个方面十个小项组织开展绩效自评。</w:t>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1.项目资金申报及批复情况。</w:t>
      </w:r>
    </w:p>
    <w:p>
      <w:pPr>
        <w:spacing w:line="560" w:lineRule="exact"/>
        <w:ind w:firstLine="640" w:firstLineChars="200"/>
        <w:rPr>
          <w:rFonts w:eastAsia="仿宋_GB2312"/>
          <w:color w:val="000000"/>
          <w:sz w:val="32"/>
          <w:szCs w:val="32"/>
          <w:lang w:val="zh-CN"/>
        </w:rPr>
      </w:pPr>
      <w:r>
        <w:rPr>
          <w:rFonts w:eastAsia="仿宋_GB2312"/>
          <w:color w:val="000000"/>
          <w:sz w:val="32"/>
          <w:szCs w:val="32"/>
          <w:lang w:val="zh-CN"/>
        </w:rPr>
        <w:t>项目资金申报、批复等情况符合资金管理办法等相关规定。</w:t>
      </w:r>
    </w:p>
    <w:p>
      <w:pPr>
        <w:spacing w:line="56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2.资金计划、到位及使用情况。</w:t>
      </w:r>
    </w:p>
    <w:p>
      <w:pPr>
        <w:spacing w:line="560" w:lineRule="exact"/>
        <w:ind w:firstLine="640" w:firstLineChars="200"/>
        <w:rPr>
          <w:rFonts w:ascii="仿宋_GB2312" w:eastAsia="仿宋_GB2312"/>
          <w:sz w:val="32"/>
          <w:szCs w:val="32"/>
        </w:rPr>
      </w:pPr>
      <w:r>
        <w:rPr>
          <w:rFonts w:eastAsia="仿宋_GB2312"/>
          <w:color w:val="000000"/>
          <w:sz w:val="32"/>
          <w:szCs w:val="32"/>
          <w:lang w:val="zh-CN"/>
        </w:rPr>
        <w:t>该项目资金计划截止评价时点</w:t>
      </w:r>
      <w:r>
        <w:rPr>
          <w:rFonts w:hint="eastAsia" w:eastAsia="仿宋_GB2312"/>
          <w:color w:val="000000"/>
          <w:sz w:val="32"/>
          <w:szCs w:val="32"/>
          <w:lang w:val="zh-CN"/>
        </w:rPr>
        <w:t>到位</w:t>
      </w:r>
      <w:r>
        <w:rPr>
          <w:rFonts w:eastAsia="仿宋_GB2312"/>
          <w:color w:val="000000"/>
          <w:sz w:val="32"/>
          <w:szCs w:val="32"/>
          <w:lang w:val="zh-CN"/>
        </w:rPr>
        <w:t>。</w:t>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3.项目财务管理情况。</w:t>
      </w:r>
    </w:p>
    <w:p>
      <w:pPr>
        <w:adjustRightInd w:val="0"/>
        <w:snapToGrid w:val="0"/>
        <w:spacing w:line="560" w:lineRule="exact"/>
        <w:ind w:firstLine="720"/>
        <w:rPr>
          <w:rFonts w:ascii="仿宋_GB2312" w:eastAsia="仿宋_GB2312"/>
          <w:color w:val="000000"/>
          <w:sz w:val="32"/>
          <w:szCs w:val="32"/>
        </w:rPr>
      </w:pPr>
      <w:r>
        <w:rPr>
          <w:rFonts w:hint="eastAsia" w:ascii="仿宋_GB2312" w:eastAsia="仿宋_GB2312"/>
          <w:color w:val="000000"/>
          <w:sz w:val="32"/>
          <w:szCs w:val="32"/>
        </w:rPr>
        <w:t>严格执行单位内控制度和财务工作制度, 坚持厉行节约，严格规范财经纪律，规范组织项目政府采购实施，加强资金使用管理，确保专款专用，提高资金使用绩效。</w:t>
      </w:r>
    </w:p>
    <w:p>
      <w:pPr>
        <w:adjustRightInd w:val="0"/>
        <w:snapToGrid w:val="0"/>
        <w:spacing w:line="56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560" w:lineRule="exact"/>
        <w:ind w:firstLine="720"/>
        <w:rPr>
          <w:rFonts w:ascii="仿宋_GB2312" w:eastAsia="仿宋_GB2312"/>
          <w:color w:val="000000"/>
          <w:sz w:val="32"/>
          <w:szCs w:val="32"/>
        </w:rPr>
      </w:pPr>
      <w:r>
        <w:rPr>
          <w:rFonts w:hint="eastAsia" w:ascii="仿宋_GB2312" w:eastAsia="仿宋_GB2312"/>
          <w:color w:val="000000"/>
          <w:sz w:val="32"/>
          <w:szCs w:val="32"/>
        </w:rPr>
        <w:t>严格执行单位内控制度和财务工作制度, 坚持厉行节约，严格规范财经纪律，规范组织项目政府采购实施，加强资金使用管理，确保专款专用，提高资金使用绩效。</w:t>
      </w:r>
    </w:p>
    <w:p>
      <w:pPr>
        <w:adjustRightInd w:val="0"/>
        <w:snapToGrid w:val="0"/>
        <w:spacing w:line="560" w:lineRule="exact"/>
        <w:ind w:firstLine="720"/>
        <w:rPr>
          <w:rFonts w:ascii="仿宋_GB2312" w:hAnsi="宋体"/>
          <w:sz w:val="32"/>
          <w:szCs w:val="32"/>
          <w:lang w:val="zh-CN"/>
        </w:rPr>
      </w:pPr>
      <w:r>
        <w:rPr>
          <w:rFonts w:hint="eastAsia" w:ascii="黑体" w:hAnsi="宋体" w:eastAsia="黑体"/>
          <w:sz w:val="32"/>
          <w:szCs w:val="32"/>
        </w:rPr>
        <w:t>四、项目绩效情况</w:t>
      </w:r>
      <w:r>
        <w:rPr>
          <w:rFonts w:hint="eastAsia" w:ascii="仿宋_GB2312" w:hAnsi="宋体"/>
          <w:sz w:val="32"/>
          <w:szCs w:val="32"/>
          <w:lang w:val="zh-CN"/>
        </w:rPr>
        <w:tab/>
      </w:r>
    </w:p>
    <w:p>
      <w:pPr>
        <w:adjustRightInd w:val="0"/>
        <w:snapToGrid w:val="0"/>
        <w:spacing w:line="560" w:lineRule="exact"/>
        <w:ind w:firstLine="720"/>
        <w:rPr>
          <w:rFonts w:ascii="仿宋_GB2312" w:hAnsi="仿宋_GB2312" w:eastAsia="仿宋_GB2312" w:cs="仿宋_GB2312"/>
          <w:sz w:val="32"/>
          <w:szCs w:val="32"/>
        </w:rPr>
      </w:pPr>
      <w:r>
        <w:rPr>
          <w:rFonts w:hint="eastAsia" w:ascii="楷体_GB2312" w:hAnsi="宋体" w:eastAsia="楷体_GB2312"/>
          <w:b/>
          <w:sz w:val="32"/>
          <w:szCs w:val="32"/>
          <w:lang w:val="zh-CN"/>
        </w:rPr>
        <w:t>（一）项目完成情况。</w:t>
      </w:r>
      <w:r>
        <w:rPr>
          <w:rFonts w:hint="eastAsia" w:ascii="仿宋_GB2312" w:hAnsi="仿宋_GB2312" w:eastAsia="仿宋_GB2312" w:cs="仿宋_GB2312"/>
          <w:sz w:val="32"/>
          <w:szCs w:val="32"/>
        </w:rPr>
        <w:t>项目及时完成，无相关违规情况。</w:t>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spacing w:line="560" w:lineRule="exact"/>
        <w:ind w:firstLine="640" w:firstLineChars="200"/>
        <w:rPr>
          <w:rFonts w:ascii="仿宋_GB2312" w:eastAsia="仿宋_GB2312"/>
          <w:color w:val="000000"/>
          <w:sz w:val="32"/>
          <w:szCs w:val="32"/>
        </w:rPr>
      </w:pPr>
      <w:r>
        <w:rPr>
          <w:rFonts w:hint="eastAsia" w:ascii="仿宋_GB2312" w:hAnsi="仿宋_GB2312" w:eastAsia="仿宋_GB2312" w:cs="仿宋_GB2312"/>
          <w:sz w:val="32"/>
          <w:szCs w:val="32"/>
        </w:rPr>
        <w:t>为深入贯彻习近平法治思想和习近平总书记关于平安中国、法治中国建设的系列重要指示精神，全面落实党中央国务院、省委省政府各项决策部署，加快推进</w:t>
      </w:r>
      <w:r>
        <w:rPr>
          <w:rFonts w:hint="eastAsia" w:ascii="仿宋_GB2312" w:eastAsia="仿宋_GB2312"/>
          <w:color w:val="000000"/>
          <w:sz w:val="32"/>
          <w:szCs w:val="32"/>
        </w:rPr>
        <w:t>市委五届十次全会“加快把三江新区建成长江上游沿江第三个国家级新区，坚定不移统筹发展和安全，建设更高水平的法治宜宾和平安宜宾，深入推进依法治理、城乡基层治理，进一步提升治理能力现代化水平”安排部署，宜宾市</w:t>
      </w:r>
      <w:r>
        <w:rPr>
          <w:rFonts w:hint="eastAsia" w:ascii="仿宋_GB2312" w:hAnsi="仿宋_GB2312" w:eastAsia="仿宋_GB2312" w:cs="仿宋_GB2312"/>
          <w:sz w:val="32"/>
          <w:szCs w:val="32"/>
        </w:rPr>
        <w:t>三江新区党工委</w:t>
      </w:r>
      <w:r>
        <w:rPr>
          <w:rFonts w:hint="eastAsia" w:ascii="仿宋_GB2312" w:eastAsia="仿宋_GB2312"/>
          <w:color w:val="000000"/>
          <w:sz w:val="32"/>
          <w:szCs w:val="32"/>
        </w:rPr>
        <w:t>依据《四川省优化营商环境条例》、省委省政府《关于建设具有全国影响力的重要经济中心的实施意见》、市委市政府《关于加快宜宾三江新区高质量发展的意见》等政策，高标准推进宜宾三江中心法务区建设，着力</w:t>
      </w:r>
      <w:r>
        <w:rPr>
          <w:rFonts w:hint="eastAsia" w:ascii="仿宋_GB2312" w:hAnsi="仿宋_GB2312" w:eastAsia="仿宋_GB2312" w:cs="仿宋_GB2312"/>
          <w:sz w:val="32"/>
          <w:szCs w:val="32"/>
        </w:rPr>
        <w:t>打造三江新区基层治理样板区，为三江新区建成长江上游沿江第三个国家级新区提供坚强法治保障。</w:t>
      </w:r>
      <w:r>
        <w:rPr>
          <w:rFonts w:hint="eastAsia" w:ascii="仿宋_GB2312" w:hAnsi="仿宋_GB2312" w:cs="仿宋_GB2312"/>
          <w:sz w:val="32"/>
          <w:szCs w:val="32"/>
        </w:rPr>
        <w:t>扎实推动</w:t>
      </w:r>
      <w:r>
        <w:rPr>
          <w:rFonts w:hint="eastAsia" w:ascii="仿宋_GB2312" w:hAnsi="仿宋_GB2312" w:eastAsia="仿宋_GB2312" w:cs="仿宋_GB2312"/>
          <w:sz w:val="32"/>
          <w:szCs w:val="32"/>
        </w:rPr>
        <w:t>三江中心法务区二期正在开展市中院统一执行指挥中心建设和“智慧法院”线上平台建设，以及法务区升级打造和品牌文化建设。</w:t>
      </w:r>
    </w:p>
    <w:p>
      <w:pPr>
        <w:pBdr>
          <w:top w:val="single" w:color="FFFFFF" w:sz="4" w:space="0"/>
          <w:left w:val="single" w:color="FFFFFF" w:sz="4" w:space="31"/>
          <w:bottom w:val="single" w:color="FFFFFF" w:sz="4" w:space="31"/>
          <w:right w:val="single" w:color="FFFFFF" w:sz="4" w:space="0"/>
        </w:pBdr>
        <w:adjustRightInd w:val="0"/>
        <w:snapToGrid w:val="0"/>
        <w:spacing w:line="560" w:lineRule="exact"/>
        <w:ind w:firstLine="640" w:firstLineChars="200"/>
        <w:rPr>
          <w:rFonts w:ascii="黑体" w:hAnsi="宋体" w:eastAsia="黑体"/>
          <w:sz w:val="32"/>
          <w:szCs w:val="32"/>
        </w:rPr>
      </w:pPr>
      <w:r>
        <w:rPr>
          <w:rFonts w:hint="eastAsia" w:ascii="黑体" w:hAnsi="宋体" w:eastAsia="黑体"/>
          <w:sz w:val="32"/>
          <w:szCs w:val="32"/>
        </w:rPr>
        <w:t>五、评价结论及建议</w:t>
      </w:r>
    </w:p>
    <w:p>
      <w:pPr>
        <w:pBdr>
          <w:top w:val="single" w:color="FFFFFF" w:sz="4" w:space="0"/>
          <w:left w:val="single" w:color="FFFFFF" w:sz="4" w:space="31"/>
          <w:bottom w:val="single" w:color="FFFFFF" w:sz="4" w:space="31"/>
          <w:right w:val="single" w:color="FFFFFF" w:sz="4" w:space="0"/>
        </w:pBdr>
        <w:adjustRightInd w:val="0"/>
        <w:snapToGrid w:val="0"/>
        <w:spacing w:line="56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pBdr>
          <w:top w:val="single" w:color="FFFFFF" w:sz="4" w:space="0"/>
          <w:left w:val="single" w:color="FFFFFF" w:sz="4" w:space="31"/>
          <w:bottom w:val="single" w:color="FFFFFF" w:sz="4" w:space="31"/>
          <w:right w:val="single" w:color="FFFFFF" w:sz="4" w:space="0"/>
        </w:pBdr>
        <w:adjustRightInd w:val="0"/>
        <w:snapToGrid w:val="0"/>
        <w:spacing w:line="560" w:lineRule="exact"/>
        <w:ind w:firstLine="640" w:firstLineChars="200"/>
        <w:rPr>
          <w:rFonts w:eastAsia="仿宋_GB2312" w:cs="仿宋_GB2312"/>
          <w:color w:val="000000"/>
          <w:sz w:val="32"/>
          <w:szCs w:val="32"/>
          <w:shd w:val="clear" w:color="auto" w:fill="FFFFFF"/>
        </w:rPr>
      </w:pPr>
      <w:r>
        <w:rPr>
          <w:rFonts w:hint="eastAsia" w:eastAsia="仿宋_GB2312" w:cs="仿宋_GB2312"/>
          <w:color w:val="000000"/>
          <w:sz w:val="32"/>
          <w:szCs w:val="32"/>
          <w:shd w:val="clear" w:color="auto" w:fill="FFFFFF"/>
        </w:rPr>
        <w:t>严格执行单位内控制度和财务工作制度, 坚持厉行节约，我们从预算绩效目标管理、专项资金管理、预算执行进度、绩效评价和资金分配和使用等方面，认真组织了自评和自查自纠，未发现违规违纪问题。</w:t>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560" w:lineRule="exact"/>
        <w:ind w:firstLine="720"/>
        <w:rPr>
          <w:rFonts w:ascii="仿宋_GB2312" w:hAnsi="仿宋_GB2312" w:cs="仿宋_GB2312"/>
          <w:kern w:val="0"/>
          <w:sz w:val="32"/>
          <w:szCs w:val="32"/>
          <w:shd w:val="clear" w:color="auto" w:fill="FFFFFF"/>
          <w:lang w:val="zh-CN"/>
        </w:rPr>
      </w:pPr>
      <w:r>
        <w:rPr>
          <w:rFonts w:hint="eastAsia" w:ascii="仿宋_GB2312" w:hAnsi="仿宋_GB2312" w:cs="仿宋_GB2312"/>
          <w:kern w:val="0"/>
          <w:sz w:val="32"/>
          <w:szCs w:val="32"/>
          <w:shd w:val="clear" w:color="auto" w:fill="FFFFFF"/>
          <w:lang w:val="zh-CN"/>
        </w:rPr>
        <w:t>无</w:t>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强化预算绩效管理。继续深入实施预算管理绩效评价工作，结合绩效监督结果安排预算，变简单追求支出进度为追求预算绩效质量。严格委机关预算管理办法，进一步加强预算分配、管理、使用、监督等环节的职责任务。根据当前市委、市政府关于预算绩效管理的相关政策，适时完善机关预算绩效管理等制度，建立规范有序的预算绩效管理体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加强工作交流培训，提高业务水平。加强财务基础工作，定期安排财务人员集中开展继续教育，提升会计核算质量。每年编制部门预算前，采取学习考察、工作调研、业务交流等形式，对预算部门开展多层次的业务培训，促使财务人员理解掌握部门预算编制和执行中的程序、方法和技巧以及可能涉及到的政策法规、工作制度，以规范预算管理、规避财务风险、提高预算管理水平。</w:t>
      </w:r>
    </w:p>
    <w:p>
      <w:pPr>
        <w:widowControl/>
        <w:adjustRightInd w:val="0"/>
        <w:snapToGrid w:val="0"/>
        <w:spacing w:line="560"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 xml:space="preserve"> </w:t>
      </w:r>
    </w:p>
    <w:p>
      <w:pPr>
        <w:widowControl/>
        <w:adjustRightInd w:val="0"/>
        <w:snapToGrid w:val="0"/>
        <w:spacing w:line="560"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附表：</w:t>
      </w:r>
    </w:p>
    <w:p>
      <w:pPr>
        <w:spacing w:line="560" w:lineRule="exac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市级主管部门项目资金分配涉及所有点位自评得分情况表</w:t>
      </w:r>
    </w:p>
    <w:tbl>
      <w:tblPr>
        <w:tblStyle w:val="19"/>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3895"/>
        <w:gridCol w:w="2899"/>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9" w:type="dxa"/>
          </w:tcPr>
          <w:p>
            <w:pPr>
              <w:spacing w:line="560" w:lineRule="exact"/>
              <w:rPr>
                <w:rFonts w:ascii="黑体" w:hAnsi="黑体" w:eastAsia="黑体" w:cs="黑体"/>
                <w:sz w:val="28"/>
                <w:szCs w:val="28"/>
              </w:rPr>
            </w:pPr>
            <w:r>
              <w:rPr>
                <w:rFonts w:hint="eastAsia" w:ascii="黑体" w:hAnsi="黑体" w:eastAsia="黑体" w:cs="黑体"/>
                <w:sz w:val="28"/>
                <w:szCs w:val="28"/>
              </w:rPr>
              <w:t>序号</w:t>
            </w:r>
          </w:p>
        </w:tc>
        <w:tc>
          <w:tcPr>
            <w:tcW w:w="3895" w:type="dxa"/>
          </w:tcPr>
          <w:p>
            <w:pPr>
              <w:spacing w:line="560" w:lineRule="exact"/>
              <w:rPr>
                <w:rFonts w:ascii="黑体" w:hAnsi="黑体" w:eastAsia="黑体" w:cs="黑体"/>
                <w:sz w:val="28"/>
                <w:szCs w:val="28"/>
              </w:rPr>
            </w:pPr>
            <w:r>
              <w:rPr>
                <w:rFonts w:hint="eastAsia" w:ascii="黑体" w:hAnsi="黑体" w:eastAsia="黑体" w:cs="黑体"/>
                <w:sz w:val="28"/>
                <w:szCs w:val="28"/>
              </w:rPr>
              <w:t>项目资金末端分配点位</w:t>
            </w:r>
          </w:p>
        </w:tc>
        <w:tc>
          <w:tcPr>
            <w:tcW w:w="2899" w:type="dxa"/>
          </w:tcPr>
          <w:p>
            <w:pPr>
              <w:spacing w:line="560" w:lineRule="exact"/>
              <w:rPr>
                <w:rFonts w:ascii="黑体" w:hAnsi="黑体" w:eastAsia="黑体" w:cs="黑体"/>
                <w:sz w:val="28"/>
                <w:szCs w:val="28"/>
              </w:rPr>
            </w:pPr>
            <w:r>
              <w:rPr>
                <w:rFonts w:hint="eastAsia" w:ascii="黑体" w:hAnsi="黑体" w:eastAsia="黑体" w:cs="黑体"/>
                <w:sz w:val="28"/>
                <w:szCs w:val="28"/>
              </w:rPr>
              <w:t>自评得分（百分制）</w:t>
            </w:r>
          </w:p>
        </w:tc>
        <w:tc>
          <w:tcPr>
            <w:tcW w:w="1007" w:type="dxa"/>
          </w:tcPr>
          <w:p>
            <w:pPr>
              <w:spacing w:line="560" w:lineRule="exact"/>
              <w:rPr>
                <w:rFonts w:ascii="黑体" w:hAnsi="黑体" w:eastAsia="黑体" w:cs="黑体"/>
                <w:sz w:val="28"/>
                <w:szCs w:val="28"/>
              </w:rPr>
            </w:pPr>
            <w:r>
              <w:rPr>
                <w:rFonts w:hint="eastAsia" w:ascii="黑体" w:hAnsi="黑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spacing w:line="560" w:lineRule="exact"/>
              <w:rPr>
                <w:rFonts w:ascii="宋体" w:hAnsi="宋体" w:cs="宋体"/>
                <w:sz w:val="28"/>
                <w:szCs w:val="28"/>
              </w:rPr>
            </w:pPr>
            <w:r>
              <w:rPr>
                <w:rFonts w:hint="eastAsia" w:ascii="宋体" w:hAnsi="宋体" w:cs="宋体"/>
                <w:sz w:val="28"/>
                <w:szCs w:val="28"/>
              </w:rPr>
              <w:t>1</w:t>
            </w:r>
          </w:p>
        </w:tc>
        <w:tc>
          <w:tcPr>
            <w:tcW w:w="3895" w:type="dxa"/>
            <w:vAlign w:val="center"/>
          </w:tcPr>
          <w:p>
            <w:pPr>
              <w:widowControl/>
              <w:spacing w:line="560" w:lineRule="exact"/>
              <w:textAlignment w:val="center"/>
              <w:rPr>
                <w:rFonts w:ascii="宋体" w:hAnsi="宋体" w:eastAsia="仿宋_GB2312" w:cs="宋体"/>
                <w:sz w:val="28"/>
                <w:szCs w:val="28"/>
              </w:rPr>
            </w:pPr>
            <w:r>
              <w:rPr>
                <w:rFonts w:hint="eastAsia" w:ascii="仿宋_GB2312" w:hAnsi="方正黑体_GBK" w:cs="方正黑体_GBK"/>
                <w:color w:val="000000"/>
                <w:kern w:val="0"/>
                <w:sz w:val="24"/>
              </w:rPr>
              <w:t>三江新区</w:t>
            </w:r>
          </w:p>
        </w:tc>
        <w:tc>
          <w:tcPr>
            <w:tcW w:w="2899" w:type="dxa"/>
          </w:tcPr>
          <w:p>
            <w:pPr>
              <w:spacing w:line="560" w:lineRule="exact"/>
              <w:rPr>
                <w:rFonts w:ascii="宋体" w:hAnsi="宋体" w:cs="宋体"/>
                <w:sz w:val="28"/>
                <w:szCs w:val="28"/>
              </w:rPr>
            </w:pPr>
            <w:r>
              <w:rPr>
                <w:rFonts w:hint="eastAsia" w:ascii="宋体" w:hAnsi="宋体" w:cs="宋体"/>
                <w:sz w:val="28"/>
                <w:szCs w:val="28"/>
              </w:rPr>
              <w:t>100分</w:t>
            </w:r>
          </w:p>
        </w:tc>
        <w:tc>
          <w:tcPr>
            <w:tcW w:w="1007" w:type="dxa"/>
          </w:tcPr>
          <w:p>
            <w:pPr>
              <w:spacing w:line="560" w:lineRule="exac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spacing w:line="560" w:lineRule="exact"/>
              <w:rPr>
                <w:rFonts w:ascii="宋体" w:hAnsi="宋体" w:cs="宋体"/>
                <w:sz w:val="28"/>
                <w:szCs w:val="28"/>
              </w:rPr>
            </w:pPr>
            <w:r>
              <w:rPr>
                <w:rFonts w:hint="eastAsia" w:ascii="宋体" w:hAnsi="宋体" w:cs="宋体"/>
                <w:sz w:val="28"/>
                <w:szCs w:val="28"/>
              </w:rPr>
              <w:t>2</w:t>
            </w:r>
          </w:p>
        </w:tc>
        <w:tc>
          <w:tcPr>
            <w:tcW w:w="3895" w:type="dxa"/>
            <w:vAlign w:val="center"/>
          </w:tcPr>
          <w:p>
            <w:pPr>
              <w:widowControl/>
              <w:spacing w:line="560" w:lineRule="exact"/>
              <w:textAlignment w:val="center"/>
              <w:rPr>
                <w:rFonts w:ascii="宋体" w:hAnsi="宋体" w:cs="宋体"/>
                <w:sz w:val="28"/>
                <w:szCs w:val="28"/>
              </w:rPr>
            </w:pPr>
          </w:p>
        </w:tc>
        <w:tc>
          <w:tcPr>
            <w:tcW w:w="2899" w:type="dxa"/>
          </w:tcPr>
          <w:p>
            <w:pPr>
              <w:spacing w:line="560" w:lineRule="exact"/>
              <w:rPr>
                <w:rFonts w:ascii="宋体" w:hAnsi="宋体" w:cs="宋体"/>
                <w:sz w:val="28"/>
                <w:szCs w:val="28"/>
              </w:rPr>
            </w:pPr>
          </w:p>
        </w:tc>
        <w:tc>
          <w:tcPr>
            <w:tcW w:w="1007" w:type="dxa"/>
          </w:tcPr>
          <w:p>
            <w:pPr>
              <w:spacing w:line="560" w:lineRule="exac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spacing w:line="560" w:lineRule="exact"/>
              <w:rPr>
                <w:rFonts w:ascii="宋体" w:hAnsi="宋体" w:cs="宋体"/>
                <w:sz w:val="28"/>
                <w:szCs w:val="28"/>
              </w:rPr>
            </w:pPr>
            <w:r>
              <w:rPr>
                <w:rFonts w:hint="eastAsia" w:ascii="宋体" w:hAnsi="宋体" w:cs="宋体"/>
                <w:sz w:val="28"/>
                <w:szCs w:val="28"/>
              </w:rPr>
              <w:t>3</w:t>
            </w:r>
          </w:p>
        </w:tc>
        <w:tc>
          <w:tcPr>
            <w:tcW w:w="3895" w:type="dxa"/>
            <w:vAlign w:val="center"/>
          </w:tcPr>
          <w:p>
            <w:pPr>
              <w:widowControl/>
              <w:spacing w:line="560" w:lineRule="exact"/>
              <w:textAlignment w:val="center"/>
              <w:rPr>
                <w:rFonts w:ascii="宋体" w:hAnsi="宋体" w:cs="宋体"/>
                <w:sz w:val="28"/>
                <w:szCs w:val="28"/>
              </w:rPr>
            </w:pPr>
          </w:p>
        </w:tc>
        <w:tc>
          <w:tcPr>
            <w:tcW w:w="2899" w:type="dxa"/>
          </w:tcPr>
          <w:p>
            <w:pPr>
              <w:spacing w:line="560" w:lineRule="exact"/>
              <w:rPr>
                <w:rFonts w:ascii="宋体" w:hAnsi="宋体" w:cs="宋体"/>
                <w:sz w:val="28"/>
                <w:szCs w:val="28"/>
              </w:rPr>
            </w:pPr>
          </w:p>
        </w:tc>
        <w:tc>
          <w:tcPr>
            <w:tcW w:w="1007" w:type="dxa"/>
          </w:tcPr>
          <w:p>
            <w:pPr>
              <w:spacing w:line="560" w:lineRule="exac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spacing w:line="560" w:lineRule="exact"/>
              <w:rPr>
                <w:rFonts w:ascii="宋体" w:hAnsi="宋体" w:cs="宋体"/>
                <w:sz w:val="28"/>
                <w:szCs w:val="28"/>
              </w:rPr>
            </w:pPr>
            <w:r>
              <w:rPr>
                <w:rFonts w:hint="eastAsia" w:ascii="宋体" w:hAnsi="宋体" w:cs="宋体"/>
                <w:sz w:val="28"/>
                <w:szCs w:val="28"/>
              </w:rPr>
              <w:t>4</w:t>
            </w:r>
          </w:p>
        </w:tc>
        <w:tc>
          <w:tcPr>
            <w:tcW w:w="3895" w:type="dxa"/>
            <w:vAlign w:val="center"/>
          </w:tcPr>
          <w:p>
            <w:pPr>
              <w:widowControl/>
              <w:spacing w:line="560" w:lineRule="exact"/>
              <w:textAlignment w:val="center"/>
              <w:rPr>
                <w:rFonts w:ascii="宋体" w:hAnsi="宋体" w:cs="宋体"/>
                <w:sz w:val="28"/>
                <w:szCs w:val="28"/>
              </w:rPr>
            </w:pPr>
          </w:p>
        </w:tc>
        <w:tc>
          <w:tcPr>
            <w:tcW w:w="2899" w:type="dxa"/>
          </w:tcPr>
          <w:p>
            <w:pPr>
              <w:spacing w:line="560" w:lineRule="exact"/>
              <w:rPr>
                <w:rFonts w:ascii="宋体" w:hAnsi="宋体" w:cs="宋体"/>
                <w:sz w:val="28"/>
                <w:szCs w:val="28"/>
              </w:rPr>
            </w:pPr>
          </w:p>
        </w:tc>
        <w:tc>
          <w:tcPr>
            <w:tcW w:w="1007" w:type="dxa"/>
          </w:tcPr>
          <w:p>
            <w:pPr>
              <w:spacing w:line="560" w:lineRule="exact"/>
              <w:rPr>
                <w:rFonts w:ascii="宋体" w:hAnsi="宋体" w:cs="宋体"/>
                <w:sz w:val="28"/>
                <w:szCs w:val="28"/>
              </w:rPr>
            </w:pPr>
          </w:p>
        </w:tc>
      </w:tr>
    </w:tbl>
    <w:p>
      <w:pPr>
        <w:spacing w:line="560" w:lineRule="exact"/>
        <w:rPr>
          <w:rFonts w:ascii="仿宋_GB2312" w:hAnsi="宋体" w:eastAsia="仿宋_GB2312" w:cs="宋体"/>
          <w:szCs w:val="21"/>
        </w:rPr>
      </w:pPr>
      <w:r>
        <w:rPr>
          <w:rFonts w:hint="eastAsia" w:ascii="仿宋_GB2312" w:hAnsi="宋体" w:eastAsia="仿宋_GB2312" w:cs="宋体"/>
          <w:szCs w:val="21"/>
        </w:rPr>
        <w:t>备注：1、项目资金末端分配点位包括县（区）、市级部门下属单位及一次性单位等。</w:t>
      </w:r>
    </w:p>
    <w:p>
      <w:pPr>
        <w:spacing w:line="560" w:lineRule="exact"/>
        <w:rPr>
          <w:rFonts w:ascii="仿宋_GB2312" w:hAnsi="宋体" w:eastAsia="仿宋_GB2312" w:cs="宋体"/>
          <w:szCs w:val="21"/>
        </w:rPr>
      </w:pPr>
      <w:r>
        <w:rPr>
          <w:rFonts w:hint="eastAsia" w:ascii="仿宋_GB2312" w:hAnsi="宋体" w:eastAsia="仿宋_GB2312" w:cs="宋体"/>
          <w:szCs w:val="21"/>
        </w:rPr>
        <w:t xml:space="preserve">      2、自评得分（百分制）从高到低划分为优、良、中、差四个档次，各个档次数量占比分别为20%、20%、55%、5%，且不同档次间得分分值应体现差异化，同档次得分分值相同的比例不超过该档次总数量的10%。</w:t>
      </w:r>
    </w:p>
    <w:p>
      <w:pPr>
        <w:spacing w:line="560" w:lineRule="exact"/>
        <w:rPr>
          <w:rFonts w:ascii="黑体" w:hAnsi="黑体" w:eastAsia="黑体"/>
          <w:sz w:val="44"/>
          <w:szCs w:val="44"/>
        </w:rPr>
      </w:pPr>
    </w:p>
    <w:p>
      <w:pPr>
        <w:spacing w:line="560" w:lineRule="exact"/>
        <w:rPr>
          <w:rFonts w:ascii="黑体" w:hAnsi="黑体" w:eastAsia="黑体"/>
          <w:sz w:val="44"/>
          <w:szCs w:val="44"/>
        </w:rPr>
      </w:pPr>
    </w:p>
    <w:p>
      <w:pPr>
        <w:spacing w:line="560" w:lineRule="exact"/>
        <w:rPr>
          <w:rFonts w:ascii="黑体" w:hAnsi="黑体" w:eastAsia="黑体"/>
          <w:sz w:val="44"/>
          <w:szCs w:val="44"/>
        </w:rPr>
      </w:pPr>
    </w:p>
    <w:p>
      <w:pPr>
        <w:spacing w:line="560" w:lineRule="exact"/>
        <w:rPr>
          <w:rFonts w:ascii="黑体" w:hAnsi="黑体" w:eastAsia="黑体"/>
          <w:sz w:val="44"/>
          <w:szCs w:val="44"/>
        </w:rPr>
      </w:pPr>
    </w:p>
    <w:p>
      <w:pPr>
        <w:spacing w:line="560" w:lineRule="exact"/>
        <w:rPr>
          <w:rFonts w:ascii="黑体" w:hAnsi="黑体" w:eastAsia="黑体"/>
          <w:sz w:val="44"/>
          <w:szCs w:val="44"/>
        </w:rPr>
      </w:pPr>
    </w:p>
    <w:p>
      <w:pPr>
        <w:spacing w:line="560" w:lineRule="exact"/>
        <w:rPr>
          <w:rFonts w:ascii="黑体" w:hAnsi="黑体" w:eastAsia="黑体"/>
          <w:sz w:val="44"/>
          <w:szCs w:val="44"/>
        </w:rPr>
      </w:pPr>
    </w:p>
    <w:p>
      <w:pPr>
        <w:spacing w:line="560" w:lineRule="exact"/>
        <w:rPr>
          <w:rFonts w:ascii="黑体" w:hAnsi="黑体" w:eastAsia="黑体"/>
          <w:sz w:val="44"/>
          <w:szCs w:val="44"/>
        </w:rPr>
      </w:pPr>
    </w:p>
    <w:p>
      <w:pPr>
        <w:spacing w:line="560" w:lineRule="exact"/>
        <w:rPr>
          <w:rFonts w:ascii="黑体" w:hAnsi="黑体" w:eastAsia="黑体"/>
          <w:sz w:val="44"/>
          <w:szCs w:val="44"/>
        </w:rPr>
      </w:pPr>
    </w:p>
    <w:p>
      <w:pPr>
        <w:spacing w:line="560" w:lineRule="exact"/>
        <w:rPr>
          <w:rFonts w:ascii="黑体" w:hAnsi="黑体" w:eastAsia="黑体"/>
          <w:sz w:val="44"/>
          <w:szCs w:val="44"/>
        </w:rPr>
      </w:pPr>
    </w:p>
    <w:p>
      <w:pPr>
        <w:spacing w:line="560" w:lineRule="exact"/>
        <w:rPr>
          <w:rFonts w:ascii="黑体" w:hAnsi="黑体" w:eastAsia="黑体"/>
          <w:sz w:val="44"/>
          <w:szCs w:val="44"/>
        </w:rPr>
      </w:pPr>
    </w:p>
    <w:p>
      <w:pPr>
        <w:spacing w:line="560" w:lineRule="exact"/>
        <w:rPr>
          <w:rFonts w:ascii="黑体" w:hAnsi="黑体" w:eastAsia="黑体"/>
          <w:sz w:val="44"/>
          <w:szCs w:val="44"/>
        </w:rPr>
      </w:pPr>
    </w:p>
    <w:p>
      <w:pPr>
        <w:spacing w:line="560" w:lineRule="exact"/>
        <w:rPr>
          <w:rFonts w:ascii="黑体" w:hAnsi="黑体" w:eastAsia="黑体"/>
          <w:sz w:val="44"/>
          <w:szCs w:val="44"/>
        </w:rPr>
      </w:pPr>
    </w:p>
    <w:p>
      <w:pPr>
        <w:spacing w:line="560" w:lineRule="exact"/>
        <w:rPr>
          <w:rFonts w:ascii="黑体" w:hAnsi="黑体" w:eastAsia="黑体"/>
          <w:sz w:val="44"/>
          <w:szCs w:val="44"/>
        </w:rPr>
      </w:pPr>
    </w:p>
    <w:p>
      <w:pPr>
        <w:spacing w:line="560" w:lineRule="exact"/>
        <w:rPr>
          <w:rFonts w:ascii="黑体" w:hAnsi="黑体" w:eastAsia="黑体"/>
          <w:sz w:val="44"/>
          <w:szCs w:val="44"/>
        </w:rPr>
      </w:pPr>
    </w:p>
    <w:p>
      <w:pPr>
        <w:spacing w:line="560" w:lineRule="exact"/>
        <w:rPr>
          <w:rFonts w:ascii="黑体" w:hAnsi="黑体" w:eastAsia="黑体"/>
          <w:sz w:val="44"/>
          <w:szCs w:val="44"/>
        </w:rPr>
      </w:pPr>
    </w:p>
    <w:p>
      <w:pPr>
        <w:spacing w:line="560" w:lineRule="exact"/>
        <w:rPr>
          <w:rFonts w:ascii="黑体" w:hAnsi="黑体" w:eastAsia="黑体"/>
          <w:sz w:val="44"/>
          <w:szCs w:val="44"/>
        </w:rPr>
      </w:pPr>
    </w:p>
    <w:p>
      <w:pPr>
        <w:spacing w:line="560" w:lineRule="exact"/>
        <w:jc w:val="center"/>
        <w:rPr>
          <w:rFonts w:hint="eastAsia" w:ascii="黑体" w:hAnsi="黑体" w:eastAsia="黑体"/>
          <w:sz w:val="44"/>
          <w:szCs w:val="44"/>
        </w:rPr>
      </w:pPr>
    </w:p>
    <w:p>
      <w:pPr>
        <w:spacing w:line="560" w:lineRule="exact"/>
        <w:jc w:val="center"/>
        <w:rPr>
          <w:rStyle w:val="31"/>
          <w:rFonts w:ascii="黑体" w:hAnsi="黑体" w:eastAsia="黑体"/>
          <w:b w:val="0"/>
        </w:rPr>
      </w:pPr>
      <w:r>
        <w:rPr>
          <w:rFonts w:hint="eastAsia" w:ascii="黑体" w:hAnsi="黑体" w:eastAsia="黑体"/>
          <w:sz w:val="44"/>
          <w:szCs w:val="44"/>
        </w:rPr>
        <w:t>第</w:t>
      </w:r>
      <w:r>
        <w:rPr>
          <w:rStyle w:val="31"/>
          <w:rFonts w:hint="eastAsia" w:ascii="黑体" w:hAnsi="黑体" w:eastAsia="黑体"/>
          <w:b w:val="0"/>
        </w:rPr>
        <w:t>五部分 附表</w:t>
      </w:r>
      <w:bookmarkEnd w:id="57"/>
      <w:bookmarkEnd w:id="59"/>
      <w:bookmarkStart w:id="60" w:name="_Toc15396619"/>
    </w:p>
    <w:p>
      <w:pPr>
        <w:pStyle w:val="2"/>
      </w:pPr>
    </w:p>
    <w:p>
      <w:pPr>
        <w:spacing w:line="560" w:lineRule="exact"/>
        <w:rPr>
          <w:rFonts w:ascii="仿宋" w:hAnsi="仿宋" w:eastAsia="仿宋"/>
          <w:sz w:val="32"/>
          <w:szCs w:val="32"/>
        </w:rPr>
      </w:pPr>
      <w:r>
        <w:rPr>
          <w:rFonts w:hint="eastAsia" w:ascii="仿宋" w:hAnsi="仿宋" w:eastAsia="仿宋"/>
          <w:sz w:val="32"/>
          <w:szCs w:val="32"/>
        </w:rPr>
        <w:t>一、收</w:t>
      </w:r>
      <w:r>
        <w:rPr>
          <w:rStyle w:val="32"/>
          <w:rFonts w:hint="eastAsia" w:ascii="仿宋" w:hAnsi="仿宋" w:eastAsia="仿宋"/>
          <w:b w:val="0"/>
          <w:bCs w:val="0"/>
        </w:rPr>
        <w:t>入支出决算总表</w:t>
      </w:r>
      <w:bookmarkEnd w:id="60"/>
    </w:p>
    <w:p>
      <w:pPr>
        <w:spacing w:line="560" w:lineRule="exact"/>
        <w:rPr>
          <w:rFonts w:ascii="仿宋" w:hAnsi="仿宋" w:eastAsia="仿宋"/>
          <w:sz w:val="32"/>
          <w:szCs w:val="32"/>
        </w:rPr>
      </w:pPr>
      <w:bookmarkStart w:id="61" w:name="_Toc15396620"/>
      <w:r>
        <w:rPr>
          <w:rFonts w:hint="eastAsia" w:ascii="仿宋" w:hAnsi="仿宋" w:eastAsia="仿宋"/>
          <w:sz w:val="32"/>
          <w:szCs w:val="32"/>
        </w:rPr>
        <w:t>二、收</w:t>
      </w:r>
      <w:r>
        <w:rPr>
          <w:rStyle w:val="32"/>
          <w:rFonts w:hint="eastAsia" w:ascii="仿宋" w:hAnsi="仿宋" w:eastAsia="仿宋"/>
          <w:b w:val="0"/>
          <w:bCs w:val="0"/>
        </w:rPr>
        <w:t>入决算表</w:t>
      </w:r>
      <w:bookmarkEnd w:id="61"/>
    </w:p>
    <w:p>
      <w:pPr>
        <w:spacing w:line="560" w:lineRule="exact"/>
        <w:rPr>
          <w:rFonts w:ascii="仿宋" w:hAnsi="仿宋" w:eastAsia="仿宋"/>
          <w:sz w:val="32"/>
          <w:szCs w:val="32"/>
        </w:rPr>
      </w:pPr>
      <w:bookmarkStart w:id="62" w:name="_Toc15396621"/>
      <w:r>
        <w:rPr>
          <w:rStyle w:val="32"/>
          <w:rFonts w:hint="eastAsia" w:ascii="仿宋" w:hAnsi="仿宋" w:eastAsia="仿宋"/>
          <w:b w:val="0"/>
          <w:bCs w:val="0"/>
        </w:rPr>
        <w:t>三、</w:t>
      </w:r>
      <w:r>
        <w:rPr>
          <w:rFonts w:hint="eastAsia" w:ascii="仿宋" w:hAnsi="仿宋" w:eastAsia="仿宋"/>
          <w:sz w:val="32"/>
          <w:szCs w:val="32"/>
        </w:rPr>
        <w:t>支</w:t>
      </w:r>
      <w:r>
        <w:rPr>
          <w:rStyle w:val="32"/>
          <w:rFonts w:hint="eastAsia" w:ascii="仿宋" w:hAnsi="仿宋" w:eastAsia="仿宋"/>
          <w:b w:val="0"/>
          <w:bCs w:val="0"/>
        </w:rPr>
        <w:t>出决算表</w:t>
      </w:r>
      <w:bookmarkEnd w:id="62"/>
    </w:p>
    <w:p>
      <w:pPr>
        <w:spacing w:line="560" w:lineRule="exact"/>
        <w:rPr>
          <w:rFonts w:ascii="仿宋" w:hAnsi="仿宋" w:eastAsia="仿宋"/>
          <w:sz w:val="32"/>
          <w:szCs w:val="32"/>
        </w:rPr>
      </w:pPr>
      <w:bookmarkStart w:id="63" w:name="_Toc15396622"/>
      <w:r>
        <w:rPr>
          <w:rStyle w:val="32"/>
          <w:rFonts w:hint="eastAsia" w:ascii="仿宋" w:hAnsi="仿宋" w:eastAsia="仿宋"/>
          <w:b w:val="0"/>
          <w:bCs w:val="0"/>
        </w:rPr>
        <w:t>四、</w:t>
      </w:r>
      <w:r>
        <w:rPr>
          <w:rFonts w:hint="eastAsia" w:ascii="仿宋" w:hAnsi="仿宋" w:eastAsia="仿宋"/>
          <w:sz w:val="32"/>
          <w:szCs w:val="32"/>
        </w:rPr>
        <w:t>财</w:t>
      </w:r>
      <w:r>
        <w:rPr>
          <w:rStyle w:val="32"/>
          <w:rFonts w:hint="eastAsia" w:ascii="仿宋" w:hAnsi="仿宋" w:eastAsia="仿宋"/>
          <w:b w:val="0"/>
          <w:bCs w:val="0"/>
        </w:rPr>
        <w:t>政拨款收入支出决算总表</w:t>
      </w:r>
      <w:bookmarkEnd w:id="63"/>
    </w:p>
    <w:p>
      <w:pPr>
        <w:spacing w:line="560" w:lineRule="exact"/>
        <w:rPr>
          <w:rStyle w:val="32"/>
          <w:rFonts w:ascii="仿宋" w:hAnsi="仿宋" w:eastAsia="仿宋"/>
          <w:b w:val="0"/>
          <w:bCs w:val="0"/>
        </w:rPr>
      </w:pPr>
      <w:bookmarkStart w:id="64" w:name="_Toc15396623"/>
      <w:r>
        <w:rPr>
          <w:rStyle w:val="32"/>
          <w:rFonts w:hint="eastAsia" w:ascii="仿宋" w:hAnsi="仿宋" w:eastAsia="仿宋"/>
          <w:b w:val="0"/>
          <w:bCs w:val="0"/>
        </w:rPr>
        <w:t>五、</w:t>
      </w:r>
      <w:r>
        <w:rPr>
          <w:rFonts w:hint="eastAsia" w:ascii="仿宋" w:hAnsi="仿宋" w:eastAsia="仿宋"/>
          <w:sz w:val="32"/>
          <w:szCs w:val="32"/>
        </w:rPr>
        <w:t>财</w:t>
      </w:r>
      <w:r>
        <w:rPr>
          <w:rStyle w:val="32"/>
          <w:rFonts w:hint="eastAsia" w:ascii="仿宋" w:hAnsi="仿宋" w:eastAsia="仿宋"/>
          <w:b w:val="0"/>
          <w:bCs w:val="0"/>
        </w:rPr>
        <w:t>政拨款支出决算明细表</w:t>
      </w:r>
      <w:bookmarkEnd w:id="64"/>
      <w:bookmarkStart w:id="65" w:name="_Toc15396624"/>
    </w:p>
    <w:p>
      <w:pPr>
        <w:spacing w:line="560" w:lineRule="exact"/>
        <w:rPr>
          <w:rFonts w:ascii="仿宋" w:hAnsi="仿宋" w:eastAsia="仿宋"/>
          <w:sz w:val="32"/>
          <w:szCs w:val="32"/>
        </w:rPr>
      </w:pPr>
      <w:r>
        <w:rPr>
          <w:rStyle w:val="32"/>
          <w:rFonts w:hint="eastAsia" w:ascii="仿宋" w:hAnsi="仿宋" w:eastAsia="仿宋"/>
          <w:b w:val="0"/>
          <w:bCs w:val="0"/>
        </w:rPr>
        <w:t>六、</w:t>
      </w:r>
      <w:r>
        <w:rPr>
          <w:rFonts w:hint="eastAsia" w:ascii="仿宋" w:hAnsi="仿宋" w:eastAsia="仿宋"/>
          <w:sz w:val="32"/>
          <w:szCs w:val="32"/>
        </w:rPr>
        <w:t>一</w:t>
      </w:r>
      <w:r>
        <w:rPr>
          <w:rStyle w:val="32"/>
          <w:rFonts w:hint="eastAsia" w:ascii="仿宋" w:hAnsi="仿宋" w:eastAsia="仿宋"/>
          <w:b w:val="0"/>
          <w:bCs w:val="0"/>
        </w:rPr>
        <w:t>般公共预算财政拨款支出决算表</w:t>
      </w:r>
      <w:bookmarkEnd w:id="65"/>
    </w:p>
    <w:p>
      <w:pPr>
        <w:spacing w:line="560" w:lineRule="exact"/>
        <w:rPr>
          <w:rFonts w:ascii="仿宋" w:hAnsi="仿宋" w:eastAsia="仿宋"/>
          <w:sz w:val="32"/>
          <w:szCs w:val="32"/>
        </w:rPr>
      </w:pPr>
      <w:bookmarkStart w:id="66" w:name="_Toc15396625"/>
      <w:r>
        <w:rPr>
          <w:rStyle w:val="32"/>
          <w:rFonts w:hint="eastAsia" w:ascii="仿宋" w:hAnsi="仿宋" w:eastAsia="仿宋"/>
          <w:b w:val="0"/>
          <w:bCs w:val="0"/>
        </w:rPr>
        <w:t>七、</w:t>
      </w:r>
      <w:r>
        <w:rPr>
          <w:rFonts w:hint="eastAsia" w:ascii="仿宋" w:hAnsi="仿宋" w:eastAsia="仿宋"/>
          <w:sz w:val="32"/>
          <w:szCs w:val="32"/>
        </w:rPr>
        <w:t>一</w:t>
      </w:r>
      <w:r>
        <w:rPr>
          <w:rStyle w:val="32"/>
          <w:rFonts w:hint="eastAsia" w:ascii="仿宋" w:hAnsi="仿宋" w:eastAsia="仿宋"/>
          <w:b w:val="0"/>
          <w:bCs w:val="0"/>
        </w:rPr>
        <w:t>般公共预算财政拨款支出决算明细表</w:t>
      </w:r>
      <w:bookmarkEnd w:id="66"/>
    </w:p>
    <w:p>
      <w:pPr>
        <w:pStyle w:val="16"/>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Style w:val="32"/>
          <w:rFonts w:hint="eastAsia" w:ascii="仿宋" w:hAnsi="仿宋" w:eastAsia="仿宋"/>
          <w:b w:val="0"/>
          <w:bCs w:val="0"/>
          <w:lang w:val="en-US" w:eastAsia="zh-CN" w:bidi="ar-SA"/>
        </w:rPr>
      </w:pPr>
      <w:bookmarkStart w:id="67" w:name="_GoBack"/>
      <w:r>
        <w:rPr>
          <w:rStyle w:val="32"/>
          <w:rFonts w:hint="eastAsia" w:ascii="仿宋" w:hAnsi="仿宋" w:eastAsia="仿宋"/>
          <w:b w:val="0"/>
          <w:bCs w:val="0"/>
          <w:lang w:val="en-US" w:eastAsia="zh-CN" w:bidi="ar-SA"/>
        </w:rPr>
        <w:t>八、一般公共预算财政拨款基本支出决算表</w:t>
      </w:r>
    </w:p>
    <w:p>
      <w:pPr>
        <w:pStyle w:val="16"/>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Style w:val="32"/>
          <w:rFonts w:hint="eastAsia" w:ascii="仿宋" w:hAnsi="仿宋" w:eastAsia="仿宋"/>
          <w:b w:val="0"/>
          <w:bCs w:val="0"/>
          <w:lang w:val="en-US" w:eastAsia="zh-CN" w:bidi="ar-SA"/>
        </w:rPr>
      </w:pPr>
      <w:r>
        <w:rPr>
          <w:rStyle w:val="32"/>
          <w:rFonts w:hint="eastAsia" w:ascii="仿宋" w:hAnsi="仿宋" w:eastAsia="仿宋"/>
          <w:b w:val="0"/>
          <w:bCs w:val="0"/>
          <w:lang w:val="en-US" w:eastAsia="zh-CN" w:bidi="ar-SA"/>
        </w:rPr>
        <w:t>九、一般公共预算财政拨款项目支出决算表</w:t>
      </w:r>
    </w:p>
    <w:p>
      <w:pPr>
        <w:pStyle w:val="16"/>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Style w:val="32"/>
          <w:rFonts w:hint="eastAsia" w:ascii="仿宋" w:hAnsi="仿宋" w:eastAsia="仿宋"/>
          <w:b w:val="0"/>
          <w:bCs w:val="0"/>
          <w:lang w:val="en-US" w:eastAsia="zh-CN" w:bidi="ar-SA"/>
        </w:rPr>
      </w:pPr>
      <w:r>
        <w:rPr>
          <w:rStyle w:val="32"/>
          <w:rFonts w:hint="eastAsia" w:ascii="仿宋" w:hAnsi="仿宋" w:eastAsia="仿宋"/>
          <w:b w:val="0"/>
          <w:bCs w:val="0"/>
          <w:lang w:val="en-US" w:eastAsia="zh-CN" w:bidi="ar-SA"/>
        </w:rPr>
        <w:t>十、政府性基金预算财政拨款收入支出决算表</w:t>
      </w:r>
    </w:p>
    <w:p>
      <w:pPr>
        <w:pStyle w:val="16"/>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Style w:val="32"/>
          <w:rFonts w:hint="eastAsia" w:ascii="仿宋" w:hAnsi="仿宋" w:eastAsia="仿宋"/>
          <w:b w:val="0"/>
          <w:bCs w:val="0"/>
          <w:lang w:val="en-US" w:eastAsia="zh-CN" w:bidi="ar-SA"/>
        </w:rPr>
      </w:pPr>
      <w:r>
        <w:rPr>
          <w:rStyle w:val="32"/>
          <w:rFonts w:hint="eastAsia" w:ascii="仿宋" w:hAnsi="仿宋" w:eastAsia="仿宋"/>
          <w:b w:val="0"/>
          <w:bCs w:val="0"/>
          <w:lang w:val="en-US" w:eastAsia="zh-CN" w:bidi="ar-SA"/>
        </w:rPr>
        <w:t>十一、国有资本经营预算财政拨款收入支出决算表</w:t>
      </w:r>
    </w:p>
    <w:p>
      <w:pPr>
        <w:pStyle w:val="16"/>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Style w:val="32"/>
          <w:rFonts w:hint="eastAsia" w:ascii="仿宋" w:hAnsi="仿宋" w:eastAsia="仿宋"/>
          <w:b w:val="0"/>
          <w:bCs w:val="0"/>
          <w:lang w:val="en-US" w:eastAsia="zh-CN" w:bidi="ar-SA"/>
        </w:rPr>
      </w:pPr>
      <w:r>
        <w:rPr>
          <w:rStyle w:val="32"/>
          <w:rFonts w:hint="eastAsia" w:ascii="仿宋" w:hAnsi="仿宋" w:eastAsia="仿宋"/>
          <w:b w:val="0"/>
          <w:bCs w:val="0"/>
          <w:lang w:val="en-US" w:eastAsia="zh-CN" w:bidi="ar-SA"/>
        </w:rPr>
        <w:t>十二、国有资本经营预算财政拨款支出决算表</w:t>
      </w:r>
    </w:p>
    <w:p>
      <w:pPr>
        <w:pStyle w:val="16"/>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Style w:val="32"/>
          <w:rFonts w:hint="eastAsia" w:ascii="仿宋" w:hAnsi="仿宋" w:eastAsia="仿宋"/>
          <w:b w:val="0"/>
          <w:bCs w:val="0"/>
          <w:lang w:val="en-US" w:eastAsia="zh-CN" w:bidi="ar-SA"/>
        </w:rPr>
      </w:pPr>
      <w:r>
        <w:rPr>
          <w:rStyle w:val="32"/>
          <w:rFonts w:hint="eastAsia" w:ascii="仿宋" w:hAnsi="仿宋" w:eastAsia="仿宋"/>
          <w:b w:val="0"/>
          <w:bCs w:val="0"/>
          <w:lang w:val="en-US" w:eastAsia="zh-CN" w:bidi="ar-SA"/>
        </w:rPr>
        <w:t>十三、财政拨款“三公”经费支出决算表</w:t>
      </w:r>
    </w:p>
    <w:bookmarkEnd w:id="67"/>
    <w:p>
      <w:pPr>
        <w:spacing w:line="560" w:lineRule="exact"/>
        <w:rPr>
          <w:rFonts w:eastAsia="仿宋"/>
          <w:sz w:val="32"/>
          <w:szCs w:val="32"/>
        </w:rPr>
      </w:pPr>
    </w:p>
    <w:sectPr>
      <w:footerReference r:id="rId6" w:type="first"/>
      <w:footerReference r:id="rId5" w:type="default"/>
      <w:pgSz w:w="11906" w:h="16838"/>
      <w:pgMar w:top="2098" w:right="1474" w:bottom="1984" w:left="1587" w:header="851" w:footer="992" w:gutter="0"/>
      <w:pgNumType w:fmt="numberInDash"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Tahoma">
    <w:altName w:val="DejaVu Sans"/>
    <w:panose1 w:val="020B0604030504040204"/>
    <w:charset w:val="00"/>
    <w:family w:val="swiss"/>
    <w:pitch w:val="default"/>
    <w:sig w:usb0="00000000" w:usb1="00000000" w:usb2="00000029" w:usb3="00000000" w:csb0="000101FF" w:csb1="00000000"/>
  </w:font>
  <w:font w:name="微软雅黑">
    <w:altName w:val="方正黑体_GBK"/>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
    <w:altName w:val="汉仪叶叶相思体简"/>
    <w:panose1 w:val="00000000000000000000"/>
    <w:charset w:val="00"/>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等线">
    <w:altName w:val="方正仿宋简体"/>
    <w:panose1 w:val="00000000000000000000"/>
    <w:charset w:val="00"/>
    <w:family w:val="auto"/>
    <w:pitch w:val="default"/>
    <w:sig w:usb0="00000000" w:usb1="00000000"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NanumGothic">
    <w:panose1 w:val="020D0604000000000000"/>
    <w:charset w:val="81"/>
    <w:family w:val="auto"/>
    <w:pitch w:val="default"/>
    <w:sig w:usb0="900002A7" w:usb1="29D7FCFB" w:usb2="00000010" w:usb3="00000000" w:csb0="00080001" w:csb1="0000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汉仪叶叶相思体简">
    <w:panose1 w:val="0201050906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pict>
        <v:shape id="_x0000_s4097" o:spid="_x0000_s4097" o:spt="202" type="#_x0000_t202" style="position:absolute;left:0pt;margin-top:0pt;height:144pt;width:144pt;mso-position-horizontal:in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3"/>
                  <w:jc w:val="center"/>
                </w:pPr>
              </w:p>
              <w:p>
                <w:pPr>
                  <w:pStyle w:val="7"/>
                  <w:spacing w:before="72"/>
                </w:pPr>
              </w:p>
            </w:txbxContent>
          </v:textbox>
        </v:shape>
      </w:pic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pict>
        <v:shape id="_x0000_s4099" o:spid="_x0000_s4099" o:spt="202" type="#_x0000_t202" style="position:absolute;left:0pt;margin-left:0pt;margin-top:-24.75pt;height:34.05pt;width:18.75p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sdt>
                <w:sdtPr>
                  <w:id w:val="-1994781956"/>
                </w:sdtPr>
                <w:sdtContent>
                  <w:p>
                    <w:pPr>
                      <w:pStyle w:val="13"/>
                      <w:jc w:val="center"/>
                    </w:pPr>
                    <w:r>
                      <w:fldChar w:fldCharType="begin"/>
                    </w:r>
                    <w:r>
                      <w:instrText xml:space="preserve">PAGE   \* MERGEFORMAT</w:instrText>
                    </w:r>
                    <w:r>
                      <w:fldChar w:fldCharType="separate"/>
                    </w:r>
                    <w:r>
                      <w:rPr>
                        <w:lang w:val="zh-CN"/>
                      </w:rPr>
                      <w:t>-</w:t>
                    </w:r>
                    <w:r>
                      <w:t xml:space="preserve"> 31 -</w:t>
                    </w:r>
                    <w:r>
                      <w:fldChar w:fldCharType="end"/>
                    </w:r>
                  </w:p>
                </w:sdtContent>
              </w:sdt>
              <w:p>
                <w:pPr>
                  <w:pStyle w:val="7"/>
                  <w:spacing w:before="72"/>
                </w:pPr>
              </w:p>
            </w:txbxContent>
          </v:textbox>
        </v:shape>
      </w:pict>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4098" o:spid="_x0000_s4098" o:spt="202" type="#_x0000_t202" style="position:absolute;left:0pt;margin-top:0pt;height:144pt;width:144pt;mso-position-horizontal:in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- 1 -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FF8039"/>
    <w:multiLevelType w:val="singleLevel"/>
    <w:tmpl w:val="8EFF8039"/>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FEFFBC65"/>
    <w:multiLevelType w:val="singleLevel"/>
    <w:tmpl w:val="FEFFBC65"/>
    <w:lvl w:ilvl="0" w:tentative="0">
      <w:start w:val="4"/>
      <w:numFmt w:val="chineseCounting"/>
      <w:suff w:val="nothing"/>
      <w:lvlText w:val="（%1）"/>
      <w:lvlJc w:val="left"/>
      <w:rPr>
        <w:rFonts w:hint="eastAsia"/>
      </w:rPr>
    </w:lvl>
  </w:abstractNum>
  <w:abstractNum w:abstractNumId="4">
    <w:nsid w:val="FFF674BC"/>
    <w:multiLevelType w:val="singleLevel"/>
    <w:tmpl w:val="FFF674BC"/>
    <w:lvl w:ilvl="0" w:tentative="0">
      <w:start w:val="1"/>
      <w:numFmt w:val="chineseCounting"/>
      <w:suff w:val="nothing"/>
      <w:lvlText w:val="%1、"/>
      <w:lvlJc w:val="left"/>
      <w:rPr>
        <w:rFonts w:hint="eastAsia"/>
      </w:rPr>
    </w:lvl>
  </w:abstractNum>
  <w:abstractNum w:abstractNumId="5">
    <w:nsid w:val="3BE198E2"/>
    <w:multiLevelType w:val="singleLevel"/>
    <w:tmpl w:val="3BE198E2"/>
    <w:lvl w:ilvl="0" w:tentative="0">
      <w:start w:val="2"/>
      <w:numFmt w:val="decimal"/>
      <w:lvlText w:val="%1."/>
      <w:lvlJc w:val="left"/>
      <w:pPr>
        <w:tabs>
          <w:tab w:val="left" w:pos="312"/>
        </w:tabs>
      </w:pPr>
    </w:lvl>
  </w:abstractNum>
  <w:abstractNum w:abstractNumId="6">
    <w:nsid w:val="7FFE30DC"/>
    <w:multiLevelType w:val="singleLevel"/>
    <w:tmpl w:val="7FFE30DC"/>
    <w:lvl w:ilvl="0" w:tentative="0">
      <w:start w:val="1"/>
      <w:numFmt w:val="decimal"/>
      <w:lvlText w:val="%1."/>
      <w:lvlJc w:val="left"/>
      <w:pPr>
        <w:tabs>
          <w:tab w:val="left" w:pos="312"/>
        </w:tabs>
      </w:pPr>
    </w:lvl>
  </w:abstractNum>
  <w:num w:numId="1">
    <w:abstractNumId w:val="6"/>
  </w:num>
  <w:num w:numId="2">
    <w:abstractNumId w:val="1"/>
  </w:num>
  <w:num w:numId="3">
    <w:abstractNumId w:val="2"/>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549F"/>
    <w:rsid w:val="000468DB"/>
    <w:rsid w:val="000537A4"/>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05F3"/>
    <w:rsid w:val="00137925"/>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28A4"/>
    <w:rsid w:val="001F7506"/>
    <w:rsid w:val="002006CD"/>
    <w:rsid w:val="00202B36"/>
    <w:rsid w:val="00204B7A"/>
    <w:rsid w:val="00204CDE"/>
    <w:rsid w:val="0021101A"/>
    <w:rsid w:val="00220536"/>
    <w:rsid w:val="00235629"/>
    <w:rsid w:val="00260C38"/>
    <w:rsid w:val="002616C0"/>
    <w:rsid w:val="00265372"/>
    <w:rsid w:val="002662AA"/>
    <w:rsid w:val="0026731B"/>
    <w:rsid w:val="00280496"/>
    <w:rsid w:val="00294DC9"/>
    <w:rsid w:val="00295495"/>
    <w:rsid w:val="002A31DE"/>
    <w:rsid w:val="002B2613"/>
    <w:rsid w:val="002D6D05"/>
    <w:rsid w:val="002F1818"/>
    <w:rsid w:val="002F567B"/>
    <w:rsid w:val="00302C8C"/>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3E7F93"/>
    <w:rsid w:val="00406254"/>
    <w:rsid w:val="004223DE"/>
    <w:rsid w:val="00434489"/>
    <w:rsid w:val="00437085"/>
    <w:rsid w:val="00443880"/>
    <w:rsid w:val="004464F4"/>
    <w:rsid w:val="00471401"/>
    <w:rsid w:val="00473F31"/>
    <w:rsid w:val="0048263A"/>
    <w:rsid w:val="00487E5D"/>
    <w:rsid w:val="004A3E5A"/>
    <w:rsid w:val="004A711F"/>
    <w:rsid w:val="004B199D"/>
    <w:rsid w:val="004B4690"/>
    <w:rsid w:val="004E0A2D"/>
    <w:rsid w:val="004E206B"/>
    <w:rsid w:val="004E6DF7"/>
    <w:rsid w:val="004F0FBD"/>
    <w:rsid w:val="00505A47"/>
    <w:rsid w:val="00512FDA"/>
    <w:rsid w:val="00520DA0"/>
    <w:rsid w:val="00556007"/>
    <w:rsid w:val="005664BB"/>
    <w:rsid w:val="00566FFA"/>
    <w:rsid w:val="0057481D"/>
    <w:rsid w:val="0058486E"/>
    <w:rsid w:val="00585B33"/>
    <w:rsid w:val="0059014D"/>
    <w:rsid w:val="005B5C64"/>
    <w:rsid w:val="005C5337"/>
    <w:rsid w:val="005C6BD0"/>
    <w:rsid w:val="005D1C8B"/>
    <w:rsid w:val="005D468D"/>
    <w:rsid w:val="005D5CED"/>
    <w:rsid w:val="005F1A4C"/>
    <w:rsid w:val="006030D6"/>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4B69"/>
    <w:rsid w:val="0071798E"/>
    <w:rsid w:val="007416B6"/>
    <w:rsid w:val="00746F48"/>
    <w:rsid w:val="0075404D"/>
    <w:rsid w:val="0076182A"/>
    <w:rsid w:val="00767B7E"/>
    <w:rsid w:val="00770D3F"/>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23EC"/>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13B8"/>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66E0107"/>
    <w:rsid w:val="07996F6E"/>
    <w:rsid w:val="0A2032A3"/>
    <w:rsid w:val="0AFE52E6"/>
    <w:rsid w:val="101860EC"/>
    <w:rsid w:val="10C055FF"/>
    <w:rsid w:val="118107EC"/>
    <w:rsid w:val="13D50BC4"/>
    <w:rsid w:val="16BB723D"/>
    <w:rsid w:val="1BE8440E"/>
    <w:rsid w:val="1D155CEE"/>
    <w:rsid w:val="23860B96"/>
    <w:rsid w:val="240371BF"/>
    <w:rsid w:val="29FD04D3"/>
    <w:rsid w:val="2C8A61B5"/>
    <w:rsid w:val="2DF04E50"/>
    <w:rsid w:val="319F7F4E"/>
    <w:rsid w:val="36AA5135"/>
    <w:rsid w:val="37E16F03"/>
    <w:rsid w:val="3B5E2677"/>
    <w:rsid w:val="3D98207C"/>
    <w:rsid w:val="3EFDFD14"/>
    <w:rsid w:val="44E268DA"/>
    <w:rsid w:val="4A627F82"/>
    <w:rsid w:val="4B4F25DA"/>
    <w:rsid w:val="4BE068DB"/>
    <w:rsid w:val="4D577224"/>
    <w:rsid w:val="4EAB630A"/>
    <w:rsid w:val="4ECE2238"/>
    <w:rsid w:val="57E71673"/>
    <w:rsid w:val="5A7E85DD"/>
    <w:rsid w:val="5AF92295"/>
    <w:rsid w:val="5CD71FC4"/>
    <w:rsid w:val="5FFF4CBF"/>
    <w:rsid w:val="6C4A05C8"/>
    <w:rsid w:val="6E7E3605"/>
    <w:rsid w:val="6FF5CC65"/>
    <w:rsid w:val="6FFD20C1"/>
    <w:rsid w:val="715C0E4B"/>
    <w:rsid w:val="72734D90"/>
    <w:rsid w:val="73AD73D5"/>
    <w:rsid w:val="73B6EB34"/>
    <w:rsid w:val="79EE5BA4"/>
    <w:rsid w:val="7A894339"/>
    <w:rsid w:val="7E7C0899"/>
    <w:rsid w:val="7EEF11D3"/>
    <w:rsid w:val="7F54558F"/>
    <w:rsid w:val="7F75804B"/>
    <w:rsid w:val="7FA30C79"/>
    <w:rsid w:val="7FC96657"/>
    <w:rsid w:val="D8D6DB89"/>
    <w:rsid w:val="DB6F4CAB"/>
    <w:rsid w:val="DF6F9789"/>
    <w:rsid w:val="EFDB2EE3"/>
    <w:rsid w:val="F57FD4AD"/>
    <w:rsid w:val="F5ED4B72"/>
    <w:rsid w:val="FF57CB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6">
    <w:name w:val="Normal Indent"/>
    <w:basedOn w:val="1"/>
    <w:next w:val="1"/>
    <w:qFormat/>
    <w:uiPriority w:val="99"/>
    <w:pPr>
      <w:ind w:firstLine="420" w:firstLineChars="200"/>
    </w:pPr>
    <w:rPr>
      <w:rFonts w:ascii="Calibri" w:hAnsi="Calibri" w:eastAsia="仿宋_GB2312"/>
      <w:sz w:val="32"/>
      <w:szCs w:val="32"/>
    </w:rPr>
  </w:style>
  <w:style w:type="paragraph" w:styleId="7">
    <w:name w:val="Body Text"/>
    <w:basedOn w:val="1"/>
    <w:link w:val="28"/>
    <w:qFormat/>
    <w:uiPriority w:val="99"/>
    <w:pPr>
      <w:spacing w:beforeLines="30"/>
    </w:pPr>
    <w:rPr>
      <w:rFonts w:ascii="仿宋_GB2312" w:eastAsia="仿宋_GB2312"/>
      <w:kern w:val="0"/>
      <w:sz w:val="30"/>
    </w:rPr>
  </w:style>
  <w:style w:type="paragraph" w:styleId="8">
    <w:name w:val="Body Text Indent"/>
    <w:basedOn w:val="1"/>
    <w:next w:val="9"/>
    <w:qFormat/>
    <w:uiPriority w:val="0"/>
    <w:pPr>
      <w:spacing w:after="120"/>
      <w:ind w:left="200" w:leftChars="200"/>
    </w:pPr>
    <w:rPr>
      <w:rFonts w:ascii="仿宋_GB2312"/>
      <w:szCs w:val="32"/>
    </w:rPr>
  </w:style>
  <w:style w:type="paragraph" w:styleId="9">
    <w:name w:val="Body Text First Indent 2"/>
    <w:basedOn w:val="8"/>
    <w:next w:val="1"/>
    <w:unhideWhenUsed/>
    <w:qFormat/>
    <w:uiPriority w:val="99"/>
    <w:pPr>
      <w:ind w:firstLine="420" w:firstLineChars="200"/>
    </w:pPr>
  </w:style>
  <w:style w:type="paragraph" w:styleId="10">
    <w:name w:val="toc 3"/>
    <w:basedOn w:val="1"/>
    <w:next w:val="1"/>
    <w:unhideWhenUsed/>
    <w:qFormat/>
    <w:uiPriority w:val="39"/>
    <w:pPr>
      <w:tabs>
        <w:tab w:val="right" w:leader="dot" w:pos="8296"/>
      </w:tabs>
      <w:ind w:left="840" w:leftChars="400"/>
    </w:pPr>
  </w:style>
  <w:style w:type="paragraph" w:styleId="11">
    <w:name w:val="Plain Text"/>
    <w:basedOn w:val="1"/>
    <w:link w:val="44"/>
    <w:unhideWhenUsed/>
    <w:qFormat/>
    <w:uiPriority w:val="99"/>
    <w:pPr>
      <w:suppressAutoHyphens/>
    </w:pPr>
    <w:rPr>
      <w:rFonts w:ascii="宋体" w:hAnsi="Courier New" w:cs="Courier New"/>
      <w:szCs w:val="21"/>
    </w:rPr>
  </w:style>
  <w:style w:type="paragraph" w:styleId="12">
    <w:name w:val="Balloon Text"/>
    <w:basedOn w:val="1"/>
    <w:link w:val="34"/>
    <w:semiHidden/>
    <w:unhideWhenUsed/>
    <w:qFormat/>
    <w:uiPriority w:val="99"/>
    <w:rPr>
      <w:sz w:val="18"/>
      <w:szCs w:val="18"/>
    </w:rPr>
  </w:style>
  <w:style w:type="paragraph" w:styleId="13">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4">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5">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6">
    <w:name w:val="toc 2"/>
    <w:basedOn w:val="1"/>
    <w:next w:val="1"/>
    <w:unhideWhenUsed/>
    <w:qFormat/>
    <w:uiPriority w:val="39"/>
    <w:pPr>
      <w:tabs>
        <w:tab w:val="right" w:leader="dot" w:pos="8296"/>
      </w:tabs>
      <w:ind w:left="420" w:leftChars="200"/>
    </w:pPr>
  </w:style>
  <w:style w:type="paragraph" w:styleId="17">
    <w:name w:val="Normal (Web)"/>
    <w:basedOn w:val="1"/>
    <w:unhideWhenUsed/>
    <w:qFormat/>
    <w:uiPriority w:val="99"/>
    <w:pPr>
      <w:widowControl/>
      <w:adjustRightInd w:val="0"/>
      <w:snapToGrid w:val="0"/>
      <w:spacing w:beforeAutospacing="1" w:afterAutospacing="1"/>
      <w:jc w:val="left"/>
    </w:pPr>
    <w:rPr>
      <w:rFonts w:ascii="Tahoma" w:hAnsi="Tahoma" w:eastAsia="微软雅黑"/>
      <w:kern w:val="0"/>
      <w:sz w:val="24"/>
      <w:szCs w:val="2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99"/>
    <w:rPr>
      <w:b/>
    </w:rPr>
  </w:style>
  <w:style w:type="character" w:styleId="22">
    <w:name w:val="Hyperlink"/>
    <w:basedOn w:val="20"/>
    <w:unhideWhenUsed/>
    <w:qFormat/>
    <w:uiPriority w:val="99"/>
    <w:rPr>
      <w:color w:val="0000FF" w:themeColor="hyperlink"/>
      <w:u w:val="single"/>
    </w:rPr>
  </w:style>
  <w:style w:type="character" w:customStyle="1" w:styleId="23">
    <w:name w:val="Header Char"/>
    <w:basedOn w:val="20"/>
    <w:semiHidden/>
    <w:qFormat/>
    <w:uiPriority w:val="99"/>
    <w:rPr>
      <w:rFonts w:ascii="Times New Roman" w:hAnsi="Times New Roman"/>
      <w:sz w:val="18"/>
      <w:szCs w:val="18"/>
    </w:rPr>
  </w:style>
  <w:style w:type="character" w:customStyle="1" w:styleId="24">
    <w:name w:val="页眉 Char"/>
    <w:link w:val="14"/>
    <w:semiHidden/>
    <w:qFormat/>
    <w:locked/>
    <w:uiPriority w:val="99"/>
    <w:rPr>
      <w:sz w:val="18"/>
    </w:rPr>
  </w:style>
  <w:style w:type="character" w:customStyle="1" w:styleId="25">
    <w:name w:val="Footer Char"/>
    <w:basedOn w:val="20"/>
    <w:semiHidden/>
    <w:qFormat/>
    <w:uiPriority w:val="99"/>
    <w:rPr>
      <w:rFonts w:ascii="Times New Roman" w:hAnsi="Times New Roman"/>
      <w:sz w:val="18"/>
      <w:szCs w:val="18"/>
    </w:rPr>
  </w:style>
  <w:style w:type="character" w:customStyle="1" w:styleId="26">
    <w:name w:val="页脚 Char"/>
    <w:link w:val="13"/>
    <w:qFormat/>
    <w:locked/>
    <w:uiPriority w:val="99"/>
    <w:rPr>
      <w:sz w:val="18"/>
    </w:rPr>
  </w:style>
  <w:style w:type="character" w:customStyle="1" w:styleId="27">
    <w:name w:val="Body Text Char"/>
    <w:basedOn w:val="20"/>
    <w:semiHidden/>
    <w:qFormat/>
    <w:uiPriority w:val="99"/>
    <w:rPr>
      <w:rFonts w:ascii="Times New Roman" w:hAnsi="Times New Roman"/>
      <w:szCs w:val="24"/>
    </w:rPr>
  </w:style>
  <w:style w:type="character" w:customStyle="1" w:styleId="28">
    <w:name w:val="正文文本 Char"/>
    <w:link w:val="7"/>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0">
    <w:name w:val="List Paragraph"/>
    <w:basedOn w:val="1"/>
    <w:qFormat/>
    <w:uiPriority w:val="34"/>
    <w:pPr>
      <w:ind w:firstLine="420" w:firstLineChars="200"/>
    </w:pPr>
  </w:style>
  <w:style w:type="character" w:customStyle="1" w:styleId="31">
    <w:name w:val="标题 1 Char"/>
    <w:basedOn w:val="20"/>
    <w:link w:val="3"/>
    <w:qFormat/>
    <w:uiPriority w:val="9"/>
    <w:rPr>
      <w:rFonts w:ascii="Times New Roman" w:hAnsi="Times New Roman"/>
      <w:b/>
      <w:bCs/>
      <w:kern w:val="44"/>
      <w:sz w:val="44"/>
      <w:szCs w:val="44"/>
    </w:rPr>
  </w:style>
  <w:style w:type="character" w:customStyle="1" w:styleId="32">
    <w:name w:val="标题 2 Char"/>
    <w:basedOn w:val="20"/>
    <w:link w:val="4"/>
    <w:qFormat/>
    <w:uiPriority w:val="9"/>
    <w:rPr>
      <w:rFonts w:asciiTheme="majorHAnsi" w:hAnsiTheme="majorHAnsi" w:eastAsiaTheme="majorEastAsia" w:cstheme="majorBidi"/>
      <w:b/>
      <w:bCs/>
      <w:kern w:val="2"/>
      <w:sz w:val="32"/>
      <w:szCs w:val="32"/>
    </w:rPr>
  </w:style>
  <w:style w:type="paragraph" w:customStyle="1" w:styleId="3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4">
    <w:name w:val="批注框文本 Char"/>
    <w:basedOn w:val="20"/>
    <w:link w:val="12"/>
    <w:semiHidden/>
    <w:qFormat/>
    <w:uiPriority w:val="99"/>
    <w:rPr>
      <w:rFonts w:ascii="Times New Roman" w:hAnsi="Times New Roman"/>
      <w:kern w:val="2"/>
      <w:sz w:val="18"/>
      <w:szCs w:val="18"/>
    </w:rPr>
  </w:style>
  <w:style w:type="character" w:customStyle="1" w:styleId="35">
    <w:name w:val="标题 3 Char"/>
    <w:basedOn w:val="20"/>
    <w:link w:val="5"/>
    <w:qFormat/>
    <w:uiPriority w:val="9"/>
    <w:rPr>
      <w:rFonts w:ascii="Times New Roman" w:hAnsi="Times New Roman"/>
      <w:b/>
      <w:bCs/>
      <w:kern w:val="2"/>
      <w:sz w:val="32"/>
      <w:szCs w:val="32"/>
    </w:rPr>
  </w:style>
  <w:style w:type="paragraph" w:customStyle="1" w:styleId="36">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7">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38">
    <w:name w:val="font61"/>
    <w:qFormat/>
    <w:uiPriority w:val="0"/>
    <w:rPr>
      <w:rFonts w:ascii="方正小标宋简体" w:hAnsi="方正小标宋简体" w:eastAsia="方正小标宋简体" w:cs="方正小标宋简体"/>
      <w:color w:val="000000"/>
      <w:sz w:val="24"/>
      <w:szCs w:val="24"/>
      <w:u w:val="none"/>
    </w:rPr>
  </w:style>
  <w:style w:type="character" w:customStyle="1" w:styleId="39">
    <w:name w:val="font41"/>
    <w:qFormat/>
    <w:uiPriority w:val="0"/>
    <w:rPr>
      <w:rFonts w:hint="eastAsia" w:ascii="宋体" w:hAnsi="宋体" w:eastAsia="宋体" w:cs="宋体"/>
      <w:color w:val="000000"/>
      <w:sz w:val="20"/>
      <w:szCs w:val="20"/>
      <w:u w:val="none"/>
    </w:rPr>
  </w:style>
  <w:style w:type="character" w:customStyle="1" w:styleId="40">
    <w:name w:val="font01"/>
    <w:qFormat/>
    <w:uiPriority w:val="0"/>
    <w:rPr>
      <w:rFonts w:hint="default" w:ascii="Times New Roman" w:hAnsi="Times New Roman" w:cs="Times New Roman"/>
      <w:color w:val="000000"/>
      <w:sz w:val="20"/>
      <w:szCs w:val="20"/>
      <w:u w:val="none"/>
    </w:rPr>
  </w:style>
  <w:style w:type="character" w:customStyle="1" w:styleId="41">
    <w:name w:val="font31"/>
    <w:qFormat/>
    <w:uiPriority w:val="0"/>
    <w:rPr>
      <w:rFonts w:hint="eastAsia" w:ascii="宋体" w:hAnsi="宋体" w:eastAsia="宋体" w:cs="宋体"/>
      <w:color w:val="000000"/>
      <w:sz w:val="20"/>
      <w:szCs w:val="20"/>
      <w:u w:val="none"/>
    </w:rPr>
  </w:style>
  <w:style w:type="character" w:customStyle="1" w:styleId="42">
    <w:name w:val="font91"/>
    <w:qFormat/>
    <w:uiPriority w:val="0"/>
    <w:rPr>
      <w:rFonts w:hint="default" w:ascii="Times New Roman" w:hAnsi="Times New Roman" w:cs="Times New Roman"/>
      <w:color w:val="000000"/>
      <w:sz w:val="20"/>
      <w:szCs w:val="20"/>
      <w:u w:val="none"/>
    </w:rPr>
  </w:style>
  <w:style w:type="paragraph" w:customStyle="1" w:styleId="43">
    <w:name w:val="四号正文"/>
    <w:basedOn w:val="1"/>
    <w:qFormat/>
    <w:uiPriority w:val="99"/>
    <w:pPr>
      <w:spacing w:line="360" w:lineRule="auto"/>
    </w:pPr>
    <w:rPr>
      <w:rFonts w:ascii="??" w:hAnsi="??" w:cs="??" w:eastAsiaTheme="minorEastAsia"/>
      <w:color w:val="000000"/>
    </w:rPr>
  </w:style>
  <w:style w:type="character" w:customStyle="1" w:styleId="44">
    <w:name w:val="纯文本 Char"/>
    <w:basedOn w:val="20"/>
    <w:link w:val="11"/>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9"/>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35</Pages>
  <Words>13742</Words>
  <Characters>2208</Characters>
  <Lines>18</Lines>
  <Paragraphs>31</Paragraphs>
  <TotalTime>1</TotalTime>
  <ScaleCrop>false</ScaleCrop>
  <LinksUpToDate>false</LinksUpToDate>
  <CharactersWithSpaces>15919</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2020-08-06T17:49:00Z</dcterms:created>
  <dc:creator>曹颖</dc:creator>
  <cp:lastModifiedBy>uos</cp:lastModifiedBy>
  <cp:lastPrinted>2023-09-25T19:08:00Z</cp:lastPrinted>
  <dcterms:modified xsi:type="dcterms:W3CDTF">2023-09-26T09:55:46Z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